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eastAsia="楷体_GB2312"/>
          <w:szCs w:val="21"/>
          <w:lang w:val="en-US"/>
        </w:rPr>
      </w:pPr>
    </w:p>
    <w:p>
      <w:pPr>
        <w:pStyle w:val="2"/>
        <w:widowControl/>
        <w:adjustRightInd w:val="0"/>
        <w:snapToGrid w:val="0"/>
        <w:spacing w:line="400" w:lineRule="exact"/>
        <w:ind w:left="0" w:firstLine="321"/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济宁鲁跃生物科技有限公司</w:t>
      </w:r>
    </w:p>
    <w:p>
      <w:pPr>
        <w:pStyle w:val="2"/>
        <w:widowControl/>
        <w:adjustRightInd w:val="0"/>
        <w:snapToGrid w:val="0"/>
        <w:spacing w:line="400" w:lineRule="exact"/>
        <w:ind w:left="0" w:firstLine="321"/>
        <w:jc w:val="center"/>
        <w:rPr>
          <w:b/>
          <w:sz w:val="32"/>
          <w:szCs w:val="32"/>
          <w:lang w:val="en-US"/>
        </w:rPr>
      </w:pPr>
      <w:r>
        <w:rPr>
          <w:rFonts w:hint="eastAsia"/>
          <w:b/>
          <w:sz w:val="32"/>
          <w:szCs w:val="32"/>
          <w:lang w:val="en-US" w:eastAsia="zh-CN"/>
        </w:rPr>
        <w:t>Jining Luyue Biotechnology</w:t>
      </w:r>
      <w:r>
        <w:rPr>
          <w:b/>
          <w:sz w:val="32"/>
          <w:szCs w:val="32"/>
          <w:lang w:val="en-US"/>
        </w:rPr>
        <w:t xml:space="preserve"> Co.,Ltd</w:t>
      </w:r>
    </w:p>
    <w:p>
      <w:pPr>
        <w:pStyle w:val="2"/>
        <w:widowControl/>
        <w:adjustRightInd w:val="0"/>
        <w:snapToGrid w:val="0"/>
        <w:ind w:left="0" w:firstLine="281"/>
        <w:jc w:val="center"/>
        <w:rPr>
          <w:b/>
          <w:sz w:val="28"/>
          <w:szCs w:val="20"/>
          <w:lang w:val="en-US"/>
        </w:rPr>
      </w:pPr>
      <w:r>
        <w:rPr>
          <w:rFonts w:hint="eastAsia" w:ascii="楷体_GB2312" w:hAnsi="Times New Roman" w:eastAsia="宋体" w:cs="宋体"/>
          <w:b/>
          <w:sz w:val="28"/>
          <w:szCs w:val="20"/>
          <w:lang w:eastAsia="zh-CN"/>
        </w:rPr>
        <w:t>检</w:t>
      </w:r>
      <w:r>
        <w:rPr>
          <w:b/>
          <w:sz w:val="28"/>
          <w:szCs w:val="20"/>
          <w:lang w:eastAsia="zh-CN"/>
        </w:rPr>
        <w:t xml:space="preserve"> </w:t>
      </w:r>
      <w:r>
        <w:rPr>
          <w:rFonts w:hint="eastAsia" w:ascii="楷体_GB2312" w:hAnsi="Times New Roman" w:eastAsia="宋体" w:cs="宋体"/>
          <w:b/>
          <w:sz w:val="28"/>
          <w:szCs w:val="20"/>
          <w:lang w:eastAsia="zh-CN"/>
        </w:rPr>
        <w:t>验</w:t>
      </w:r>
      <w:r>
        <w:rPr>
          <w:b/>
          <w:sz w:val="28"/>
          <w:szCs w:val="20"/>
          <w:lang w:eastAsia="zh-CN"/>
        </w:rPr>
        <w:t xml:space="preserve"> </w:t>
      </w:r>
      <w:r>
        <w:rPr>
          <w:rFonts w:hint="eastAsia" w:ascii="楷体_GB2312" w:hAnsi="Times New Roman" w:eastAsia="宋体" w:cs="宋体"/>
          <w:b/>
          <w:sz w:val="28"/>
          <w:szCs w:val="20"/>
          <w:lang w:eastAsia="zh-CN"/>
        </w:rPr>
        <w:t>报</w:t>
      </w:r>
      <w:r>
        <w:rPr>
          <w:b/>
          <w:sz w:val="28"/>
          <w:szCs w:val="20"/>
          <w:lang w:eastAsia="zh-CN"/>
        </w:rPr>
        <w:t xml:space="preserve"> </w:t>
      </w:r>
      <w:r>
        <w:rPr>
          <w:rFonts w:hint="eastAsia" w:ascii="楷体_GB2312" w:hAnsi="Times New Roman" w:eastAsia="宋体" w:cs="宋体"/>
          <w:b/>
          <w:sz w:val="28"/>
          <w:szCs w:val="20"/>
          <w:lang w:eastAsia="zh-CN"/>
        </w:rPr>
        <w:t>告</w:t>
      </w:r>
    </w:p>
    <w:p>
      <w:pPr>
        <w:pStyle w:val="2"/>
        <w:widowControl/>
        <w:adjustRightInd w:val="0"/>
        <w:snapToGrid w:val="0"/>
        <w:ind w:left="0" w:firstLine="0" w:firstLineChars="0"/>
        <w:jc w:val="center"/>
      </w:pPr>
      <w:r>
        <w:rPr>
          <w:rFonts w:hint="default" w:ascii="Times New Roman" w:hAnsi="Times New Roman" w:cs="Times New Roman"/>
          <w:sz w:val="28"/>
          <w:szCs w:val="20"/>
          <w:lang w:val="en-US"/>
        </w:rPr>
        <w:t>ANALYTICAL   REPORT</w:t>
      </w:r>
    </w:p>
    <w:tbl>
      <w:tblPr>
        <w:tblStyle w:val="3"/>
        <w:tblW w:w="10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472"/>
        <w:gridCol w:w="1650"/>
        <w:gridCol w:w="2494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Report No.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报告编号：20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200906-03</w:t>
            </w:r>
          </w:p>
        </w:tc>
        <w:tc>
          <w:tcPr>
            <w:tcW w:w="4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Batch Size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批量：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800k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g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QA approval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QA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确认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Product Name  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产品名称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8-Hydroxyquinoline   8-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羟基喹啉</w:t>
            </w:r>
          </w:p>
        </w:tc>
        <w:tc>
          <w:tcPr>
            <w:tcW w:w="4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Code No.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代码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LY-9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Batch No.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批号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200906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Analyzed according to sop No.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GB/T10704.1989</w:t>
            </w:r>
          </w:p>
        </w:tc>
        <w:tc>
          <w:tcPr>
            <w:tcW w:w="4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Date of Mfg.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生产日期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2020-09-06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1 OF 1 page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Test Item    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检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验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目</w:t>
            </w:r>
          </w:p>
        </w:tc>
        <w:tc>
          <w:tcPr>
            <w:tcW w:w="4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Specification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规格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Result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检验结果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2" w:hRule="atLeast"/>
        </w:trPr>
        <w:tc>
          <w:tcPr>
            <w:tcW w:w="3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．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Appearance   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外观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．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Residue on ignition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灼烧残渣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．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Melting range  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熔程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．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Assay        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含量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Magnesium Sensitivity Test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镁灵敏度试验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6.The assay of Chloride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氯化物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(Cl)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7. The assay of Sulfate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硫酸盐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(SO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vertAlign w:val="subscript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)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8.</w:t>
            </w:r>
            <w:r>
              <w:rPr>
                <w:rFonts w:hint="default" w:ascii="Courier New" w:hAnsi="Courier New" w:eastAsia="宋体" w:cs="Courier New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Acetate</w:t>
            </w:r>
            <w:r>
              <w:rPr>
                <w:rFonts w:hint="default" w:ascii="Courier New" w:hAnsi="Courier New" w:eastAsia="宋体" w:cs="Courier New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Dissolved Test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乙酸溶解试验</w:t>
            </w:r>
          </w:p>
        </w:tc>
        <w:tc>
          <w:tcPr>
            <w:tcW w:w="4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Almost white or light brown crystalline powder or spiculate crystals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类白色或浅棕色结晶性粉末或针状晶体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 0.2%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72-75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℃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99.0%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Pass      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合格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0.05%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0.02%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Pass       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合格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Almost white crystalline powder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类白色结晶性粉末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Pass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72.0-73.4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99.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8%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Pass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Pass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Pass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Pass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7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QC comments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备注：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Analyst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分析员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Checker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复核者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Times New Roman" w:eastAsia="宋体" w:cs="宋体"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5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Supervisor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主管：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QA Conclusion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结论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Qualified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合格</w:t>
            </w:r>
          </w:p>
        </w:tc>
        <w:tc>
          <w:tcPr>
            <w:tcW w:w="5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Issue Date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核准日期：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Unqualified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不合格</w:t>
            </w:r>
          </w:p>
        </w:tc>
        <w:tc>
          <w:tcPr>
            <w:tcW w:w="5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QC comments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备注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ISO9001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2000</w:t>
            </w:r>
          </w:p>
        </w:tc>
      </w:tr>
    </w:tbl>
    <w:p>
      <w:bookmarkStart w:id="0" w:name="_GoBack"/>
      <w:bookmarkEnd w:id="0"/>
    </w:p>
    <w:sectPr>
      <w:pgSz w:w="12240" w:h="15840"/>
      <w:pgMar w:top="454" w:right="720" w:bottom="454" w:left="720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54FC5"/>
    <w:rsid w:val="14EC4337"/>
    <w:rsid w:val="332D5F9E"/>
    <w:rsid w:val="43E54FC5"/>
    <w:rsid w:val="643F7A91"/>
    <w:rsid w:val="66C450FA"/>
    <w:rsid w:val="76541E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 w:val="0"/>
      <w:widowControl w:val="0"/>
      <w:suppressLineNumbers w:val="0"/>
      <w:tabs>
        <w:tab w:val="left" w:pos="8140"/>
      </w:tabs>
      <w:spacing w:before="0" w:beforeAutospacing="0" w:after="0" w:afterAutospacing="0"/>
      <w:ind w:left="0" w:right="0" w:firstLine="440" w:firstLineChars="100"/>
      <w:jc w:val="both"/>
      <w:outlineLvl w:val="0"/>
    </w:pPr>
    <w:rPr>
      <w:rFonts w:hint="eastAsia" w:ascii="楷体_GB2312" w:hAnsi="宋体" w:eastAsia="宋体" w:cs="楷体_GB2312"/>
      <w:kern w:val="2"/>
      <w:sz w:val="44"/>
      <w:szCs w:val="20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2017-05-11T07:03:00Z</dcterms:created>
  <dc:creator>Administrator</dc:creator>
  <cp:lastModifiedBy>Administrator</cp:lastModifiedBy>
  <dcterms:modified xsi:type="dcterms:W3CDTF">2020-09-12T08:05:28Z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