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napToGrid w:val="0"/>
        <w:jc w:val="center"/>
        <w:rPr>
          <w:b/>
          <w:sz w:val="30"/>
          <w:szCs w:val="30"/>
        </w:rPr>
      </w:pPr>
    </w:p>
    <w:p>
      <w:pPr>
        <w:pStyle w:val="3"/>
        <w:snapToGrid w:val="0"/>
        <w:jc w:val="center"/>
        <w:rPr>
          <w:b/>
          <w:sz w:val="30"/>
          <w:szCs w:val="30"/>
        </w:rPr>
      </w:pPr>
      <w:r>
        <w:rPr>
          <w:rFonts w:hint="eastAsia" w:ascii="Arial" w:hAnsi="Arial" w:cs="Arial"/>
          <w:b w:val="0"/>
          <w:i w:val="0"/>
          <w:caps w:val="0"/>
          <w:color w:val="333333"/>
          <w:spacing w:val="0"/>
          <w:sz w:val="30"/>
          <w:szCs w:val="30"/>
          <w:shd w:val="clear" w:fill="FFFFFF"/>
          <w:lang w:val="en-US" w:eastAsia="zh-CN"/>
        </w:rPr>
        <w:t>M</w:t>
      </w:r>
      <w:r>
        <w:rPr>
          <w:rFonts w:ascii="Arial" w:hAnsi="Arial" w:eastAsia="宋体" w:cs="Arial"/>
          <w:b w:val="0"/>
          <w:i w:val="0"/>
          <w:caps w:val="0"/>
          <w:color w:val="333333"/>
          <w:spacing w:val="0"/>
          <w:sz w:val="30"/>
          <w:szCs w:val="30"/>
          <w:shd w:val="clear" w:fill="FFFFFF"/>
        </w:rPr>
        <w:t>aterial safety data sheet</w:t>
      </w:r>
    </w:p>
    <w:p>
      <w:pPr>
        <w:pStyle w:val="3"/>
        <w:snapToGrid w:val="0"/>
        <w:jc w:val="left"/>
        <w:rPr>
          <w:b/>
          <w:sz w:val="21"/>
          <w:szCs w:val="21"/>
        </w:rPr>
      </w:pPr>
    </w:p>
    <w:p>
      <w:pPr>
        <w:pStyle w:val="3"/>
        <w:snapToGrid w:val="0"/>
        <w:jc w:val="left"/>
        <w:rPr>
          <w:b/>
          <w:sz w:val="21"/>
          <w:szCs w:val="21"/>
        </w:rPr>
      </w:pPr>
    </w:p>
    <w:p>
      <w:pPr>
        <w:pStyle w:val="3"/>
        <w:snapToGrid w:val="0"/>
        <w:jc w:val="left"/>
        <w:rPr>
          <w:b/>
          <w:sz w:val="21"/>
          <w:szCs w:val="21"/>
        </w:rPr>
      </w:pPr>
    </w:p>
    <w:p>
      <w:pPr>
        <w:pStyle w:val="3"/>
        <w:snapToGrid w:val="0"/>
        <w:jc w:val="left"/>
        <w:rPr>
          <w:b/>
          <w:sz w:val="21"/>
          <w:szCs w:val="21"/>
        </w:rPr>
      </w:pPr>
      <w:r>
        <w:rPr>
          <w:b/>
          <w:sz w:val="21"/>
          <w:szCs w:val="21"/>
        </w:rPr>
        <w:t>Section 1.  Product and Company Identification</w:t>
      </w:r>
    </w:p>
    <w:p>
      <w:pPr>
        <w:pStyle w:val="4"/>
        <w:ind w:firstLine="0"/>
        <w:rPr>
          <w:szCs w:val="21"/>
        </w:rPr>
      </w:pPr>
      <w:r>
        <w:rPr>
          <w:b/>
          <w:szCs w:val="21"/>
        </w:rPr>
        <w:t>1.1 Product Identification</w:t>
      </w:r>
    </w:p>
    <w:p>
      <w:pPr>
        <w:spacing w:beforeAutospacing="1" w:afterAutospacing="1"/>
        <w:rPr>
          <w:color w:val="000000"/>
          <w:szCs w:val="21"/>
        </w:rPr>
      </w:pPr>
      <w:r>
        <w:rPr>
          <w:color w:val="000000"/>
          <w:szCs w:val="21"/>
          <w:lang w:bidi="ar"/>
        </w:rPr>
        <w:t>Chemical name: 1,1',1"-Nitrilotri-2-propanol </w:t>
      </w:r>
    </w:p>
    <w:p>
      <w:pPr>
        <w:spacing w:beforeAutospacing="1" w:afterAutospacing="1"/>
        <w:rPr>
          <w:color w:val="000000"/>
          <w:szCs w:val="21"/>
        </w:rPr>
      </w:pPr>
      <w:r>
        <w:rPr>
          <w:color w:val="000000"/>
          <w:szCs w:val="21"/>
          <w:lang w:bidi="ar"/>
        </w:rPr>
        <w:t>Trade name: Triisopropanolamine 85% / TIPA 85%</w:t>
      </w:r>
    </w:p>
    <w:p>
      <w:pPr>
        <w:spacing w:beforeAutospacing="1" w:afterAutospacing="1"/>
        <w:rPr>
          <w:color w:val="000000"/>
          <w:szCs w:val="21"/>
        </w:rPr>
      </w:pPr>
      <w:r>
        <w:rPr>
          <w:color w:val="000000"/>
          <w:szCs w:val="21"/>
          <w:lang w:bidi="ar"/>
        </w:rPr>
        <w:t>Structural Formula: [CH</w:t>
      </w:r>
      <w:r>
        <w:rPr>
          <w:color w:val="000000"/>
          <w:szCs w:val="21"/>
          <w:vertAlign w:val="subscript"/>
          <w:lang w:bidi="ar"/>
        </w:rPr>
        <w:t>3</w:t>
      </w:r>
      <w:r>
        <w:rPr>
          <w:color w:val="000000"/>
          <w:szCs w:val="21"/>
          <w:lang w:bidi="ar"/>
        </w:rPr>
        <w:t>CH(OH)CH</w:t>
      </w:r>
      <w:r>
        <w:rPr>
          <w:color w:val="000000"/>
          <w:szCs w:val="21"/>
          <w:vertAlign w:val="subscript"/>
          <w:lang w:bidi="ar"/>
        </w:rPr>
        <w:t>2</w:t>
      </w:r>
      <w:r>
        <w:rPr>
          <w:color w:val="000000"/>
          <w:szCs w:val="21"/>
          <w:lang w:bidi="ar"/>
        </w:rPr>
        <w:t>]</w:t>
      </w:r>
      <w:r>
        <w:rPr>
          <w:color w:val="000000"/>
          <w:szCs w:val="21"/>
          <w:vertAlign w:val="subscript"/>
          <w:lang w:bidi="ar"/>
        </w:rPr>
        <w:t>3</w:t>
      </w:r>
      <w:r>
        <w:rPr>
          <w:color w:val="000000"/>
          <w:szCs w:val="21"/>
          <w:lang w:bidi="ar"/>
        </w:rPr>
        <w:t>N</w:t>
      </w:r>
    </w:p>
    <w:p>
      <w:pPr>
        <w:spacing w:beforeAutospacing="1" w:afterAutospacing="1"/>
        <w:rPr>
          <w:color w:val="000000"/>
          <w:szCs w:val="21"/>
          <w:lang w:bidi="ar"/>
        </w:rPr>
      </w:pPr>
      <w:r>
        <w:rPr>
          <w:color w:val="000000"/>
          <w:szCs w:val="21"/>
          <w:lang w:bidi="ar"/>
        </w:rPr>
        <w:t>CAS Number: 122-20-3</w:t>
      </w:r>
    </w:p>
    <w:p>
      <w:pPr>
        <w:spacing w:beforeAutospacing="1" w:afterAutospacing="1"/>
        <w:rPr>
          <w:b/>
          <w:szCs w:val="21"/>
        </w:rPr>
      </w:pPr>
      <w:r>
        <w:rPr>
          <w:b/>
          <w:szCs w:val="21"/>
        </w:rPr>
        <w:t>1.2</w:t>
      </w:r>
      <w:r>
        <w:rPr>
          <w:color w:val="000000"/>
          <w:szCs w:val="21"/>
          <w:lang w:bidi="ar"/>
        </w:rPr>
        <w:t xml:space="preserve"> </w:t>
      </w:r>
      <w:r>
        <w:rPr>
          <w:b/>
          <w:szCs w:val="21"/>
        </w:rPr>
        <w:t>Company Identification</w:t>
      </w:r>
    </w:p>
    <w:p>
      <w:pPr>
        <w:pStyle w:val="2"/>
        <w:keepNext w:val="0"/>
        <w:keepLines w:val="0"/>
        <w:widowControl/>
        <w:suppressLineNumbers w:val="0"/>
        <w:shd w:val="clear" w:fill="FFFFFF"/>
        <w:spacing w:line="378" w:lineRule="atLeast"/>
        <w:ind w:left="0" w:right="0" w:firstLine="0"/>
        <w:rPr>
          <w:rFonts w:hint="default" w:ascii="Times New Roman" w:hAnsi="Times New Roman" w:cs="Times New Roman"/>
          <w:i w:val="0"/>
          <w:iCs w:val="0"/>
          <w:color w:val="000000"/>
          <w:sz w:val="21"/>
          <w:szCs w:val="21"/>
        </w:rPr>
      </w:pPr>
      <w:r>
        <w:rPr>
          <w:rFonts w:hint="default" w:ascii="Times New Roman" w:hAnsi="Times New Roman" w:cs="Times New Roman"/>
          <w:b/>
          <w:i w:val="0"/>
          <w:iCs w:val="0"/>
          <w:sz w:val="21"/>
          <w:szCs w:val="21"/>
        </w:rPr>
        <w:t xml:space="preserve">Manufacturers/Supplier: </w:t>
      </w:r>
      <w:r>
        <w:rPr>
          <w:rFonts w:hint="default" w:ascii="Times New Roman" w:hAnsi="Times New Roman" w:cs="Times New Roman"/>
          <w:b/>
          <w:bCs/>
          <w:i w:val="0"/>
          <w:iCs w:val="0"/>
          <w:caps w:val="0"/>
          <w:color w:val="000000"/>
          <w:spacing w:val="0"/>
          <w:sz w:val="21"/>
          <w:szCs w:val="21"/>
          <w:shd w:val="clear" w:fill="FFFFFF"/>
        </w:rPr>
        <w:t>Shijiazhuang City Horizon Chemical Industry Co.,Ltd</w:t>
      </w:r>
    </w:p>
    <w:p>
      <w:pPr>
        <w:pStyle w:val="2"/>
        <w:keepNext w:val="0"/>
        <w:keepLines w:val="0"/>
        <w:widowControl/>
        <w:suppressLineNumbers w:val="0"/>
        <w:shd w:val="clear" w:fill="FFFFFF"/>
        <w:spacing w:line="378" w:lineRule="atLeast"/>
        <w:ind w:left="0" w:right="0" w:firstLine="0"/>
        <w:rPr>
          <w:rFonts w:hint="default" w:ascii="Times New Roman" w:hAnsi="Times New Roman" w:cs="Times New Roman"/>
          <w:b/>
          <w:bCs/>
          <w:i w:val="0"/>
          <w:iCs w:val="0"/>
          <w:caps w:val="0"/>
          <w:color w:val="000000"/>
          <w:spacing w:val="0"/>
          <w:sz w:val="21"/>
          <w:szCs w:val="21"/>
        </w:rPr>
      </w:pPr>
      <w:r>
        <w:rPr>
          <w:rFonts w:hint="default" w:ascii="Times New Roman" w:hAnsi="Times New Roman" w:cs="Times New Roman"/>
          <w:b/>
          <w:bCs/>
          <w:i w:val="0"/>
          <w:iCs w:val="0"/>
          <w:caps w:val="0"/>
          <w:color w:val="000000"/>
          <w:spacing w:val="0"/>
          <w:sz w:val="21"/>
          <w:szCs w:val="21"/>
          <w:shd w:val="clear" w:fill="FFFFFF"/>
        </w:rPr>
        <w:t>Address:12th Floor of DongSheng Plaza,No 158 of PingAn North Street,Shijiazhuang City,Hebei Province,China</w:t>
      </w:r>
    </w:p>
    <w:p>
      <w:pPr>
        <w:spacing w:before="212" w:after="150"/>
        <w:ind w:left="226" w:right="226"/>
        <w:rPr>
          <w:b/>
          <w:szCs w:val="21"/>
        </w:rPr>
      </w:pPr>
      <w:r>
        <w:rPr>
          <w:b/>
          <w:szCs w:val="21"/>
        </w:rPr>
        <w:t>Tel: 86- 311- 66178338</w:t>
      </w:r>
      <w:bookmarkStart w:id="1" w:name="_GoBack"/>
      <w:bookmarkEnd w:id="1"/>
    </w:p>
    <w:p>
      <w:pPr>
        <w:spacing w:before="212" w:after="150"/>
        <w:ind w:left="226" w:right="226"/>
        <w:rPr>
          <w:b/>
          <w:szCs w:val="21"/>
        </w:rPr>
      </w:pPr>
      <w:r>
        <w:rPr>
          <w:b/>
          <w:szCs w:val="21"/>
        </w:rPr>
        <w:t>Fax: 86- 311- 66178438</w:t>
      </w:r>
    </w:p>
    <w:p>
      <w:pPr>
        <w:spacing w:before="212" w:after="150"/>
        <w:ind w:left="226" w:right="226"/>
        <w:rPr>
          <w:b/>
          <w:szCs w:val="21"/>
        </w:rPr>
      </w:pPr>
      <w:r>
        <w:fldChar w:fldCharType="begin"/>
      </w:r>
      <w:r>
        <w:instrText xml:space="preserve"> HYPERLINK "http://www.horizonadmixtures.com/" </w:instrText>
      </w:r>
      <w:r>
        <w:fldChar w:fldCharType="separate"/>
      </w:r>
      <w:r>
        <w:rPr>
          <w:b/>
          <w:szCs w:val="21"/>
        </w:rPr>
        <w:t>www.horizonadmixtures.com</w:t>
      </w:r>
      <w:r>
        <w:rPr>
          <w:b/>
          <w:szCs w:val="21"/>
        </w:rPr>
        <w:fldChar w:fldCharType="end"/>
      </w:r>
      <w:r>
        <w:rPr>
          <w:b/>
          <w:szCs w:val="21"/>
        </w:rPr>
        <w:t xml:space="preserve"> </w:t>
      </w:r>
    </w:p>
    <w:p>
      <w:pPr>
        <w:spacing w:before="212" w:after="150"/>
        <w:ind w:left="226" w:right="226"/>
        <w:rPr>
          <w:b/>
          <w:szCs w:val="21"/>
        </w:rPr>
      </w:pPr>
      <w:r>
        <w:rPr>
          <w:b/>
          <w:szCs w:val="21"/>
        </w:rPr>
        <w:t>Email:info@horizonadmixtures.com</w:t>
      </w:r>
    </w:p>
    <w:p>
      <w:pPr>
        <w:spacing w:line="0" w:lineRule="atLeast"/>
        <w:rPr>
          <w:b/>
          <w:szCs w:val="21"/>
        </w:rPr>
      </w:pPr>
      <w:r>
        <w:rPr>
          <w:b/>
          <w:szCs w:val="21"/>
        </w:rPr>
        <w:t xml:space="preserve">1.3 </w:t>
      </w:r>
      <w:r>
        <w:rPr>
          <w:rFonts w:eastAsia="Arial"/>
          <w:b/>
          <w:szCs w:val="21"/>
        </w:rPr>
        <w:t>EMERGENCY TELEPHONE NUMBER</w:t>
      </w:r>
      <w:r>
        <w:rPr>
          <w:b/>
          <w:szCs w:val="21"/>
        </w:rPr>
        <w:t>: 86- 311- 66178338</w:t>
      </w:r>
    </w:p>
    <w:p>
      <w:pPr>
        <w:spacing w:line="0" w:lineRule="atLeast"/>
        <w:rPr>
          <w:color w:val="000000"/>
          <w:szCs w:val="21"/>
          <w:shd w:val="clear" w:color="auto" w:fill="FFFFFF"/>
          <w:lang w:bidi="ar"/>
        </w:rPr>
      </w:pPr>
    </w:p>
    <w:p>
      <w:pPr>
        <w:pStyle w:val="3"/>
        <w:snapToGrid w:val="0"/>
        <w:jc w:val="both"/>
        <w:rPr>
          <w:b/>
          <w:sz w:val="21"/>
          <w:szCs w:val="21"/>
        </w:rPr>
      </w:pPr>
      <w:r>
        <w:rPr>
          <w:b/>
          <w:sz w:val="21"/>
          <w:szCs w:val="21"/>
        </w:rPr>
        <w:t xml:space="preserve">Section 2 Information on ingredients </w:t>
      </w:r>
    </w:p>
    <w:p>
      <w:pPr>
        <w:pStyle w:val="4"/>
        <w:rPr>
          <w:szCs w:val="21"/>
        </w:rPr>
      </w:pPr>
    </w:p>
    <w:tbl>
      <w:tblPr>
        <w:tblStyle w:val="11"/>
        <w:tblW w:w="6872" w:type="dxa"/>
        <w:jc w:val="center"/>
        <w:tblCellSpacing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75" w:type="dxa"/>
          <w:left w:w="75" w:type="dxa"/>
          <w:bottom w:w="75" w:type="dxa"/>
          <w:right w:w="75" w:type="dxa"/>
        </w:tblCellMar>
      </w:tblPr>
      <w:tblGrid>
        <w:gridCol w:w="3541"/>
        <w:gridCol w:w="1438"/>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blCellSpacing w:w="15" w:type="dxa"/>
          <w:jc w:val="center"/>
        </w:trPr>
        <w:tc>
          <w:tcPr>
            <w:tcW w:w="3496" w:type="dxa"/>
            <w:vAlign w:val="center"/>
          </w:tcPr>
          <w:p>
            <w:pPr>
              <w:rPr>
                <w:color w:val="000000"/>
                <w:szCs w:val="21"/>
              </w:rPr>
            </w:pPr>
            <w:r>
              <w:rPr>
                <w:szCs w:val="21"/>
              </w:rPr>
              <w:t xml:space="preserve">Chemical Entity </w:t>
            </w:r>
          </w:p>
        </w:tc>
        <w:tc>
          <w:tcPr>
            <w:tcW w:w="1408" w:type="dxa"/>
            <w:vAlign w:val="center"/>
          </w:tcPr>
          <w:p>
            <w:pPr>
              <w:rPr>
                <w:color w:val="000000"/>
                <w:szCs w:val="21"/>
              </w:rPr>
            </w:pPr>
            <w:r>
              <w:rPr>
                <w:szCs w:val="21"/>
              </w:rPr>
              <w:t xml:space="preserve">CAS No. </w:t>
            </w:r>
          </w:p>
        </w:tc>
        <w:tc>
          <w:tcPr>
            <w:tcW w:w="1848" w:type="dxa"/>
            <w:vAlign w:val="center"/>
          </w:tcPr>
          <w:p>
            <w:pPr>
              <w:rPr>
                <w:color w:val="000000"/>
                <w:szCs w:val="21"/>
              </w:rPr>
            </w:pPr>
            <w:r>
              <w:rPr>
                <w:szCs w:val="21"/>
              </w:rPr>
              <w:t xml:space="preserve">Proportions (%)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75" w:type="dxa"/>
            <w:left w:w="75" w:type="dxa"/>
            <w:bottom w:w="75" w:type="dxa"/>
            <w:right w:w="75" w:type="dxa"/>
          </w:tblCellMar>
        </w:tblPrEx>
        <w:trPr>
          <w:tblCellSpacing w:w="15" w:type="dxa"/>
          <w:jc w:val="center"/>
        </w:trPr>
        <w:tc>
          <w:tcPr>
            <w:tcW w:w="3496" w:type="dxa"/>
            <w:vAlign w:val="center"/>
          </w:tcPr>
          <w:p>
            <w:pPr>
              <w:rPr>
                <w:color w:val="000000"/>
                <w:szCs w:val="21"/>
              </w:rPr>
            </w:pPr>
            <w:r>
              <w:rPr>
                <w:szCs w:val="21"/>
              </w:rPr>
              <w:t xml:space="preserve">1, 1’, 1’’-Nitrilotri-2-PROPANOL </w:t>
            </w:r>
          </w:p>
        </w:tc>
        <w:tc>
          <w:tcPr>
            <w:tcW w:w="1408" w:type="dxa"/>
            <w:vAlign w:val="center"/>
          </w:tcPr>
          <w:p>
            <w:pPr>
              <w:rPr>
                <w:color w:val="000000"/>
                <w:szCs w:val="21"/>
              </w:rPr>
            </w:pPr>
            <w:r>
              <w:rPr>
                <w:szCs w:val="21"/>
              </w:rPr>
              <w:t xml:space="preserve">[122-20-3] </w:t>
            </w:r>
          </w:p>
        </w:tc>
        <w:tc>
          <w:tcPr>
            <w:tcW w:w="1848" w:type="dxa"/>
            <w:vAlign w:val="center"/>
          </w:tcPr>
          <w:p>
            <w:pPr>
              <w:rPr>
                <w:color w:val="000000"/>
                <w:szCs w:val="21"/>
              </w:rPr>
            </w:pPr>
            <w:r>
              <w:rPr>
                <w:szCs w:val="21"/>
              </w:rPr>
              <w:t>≥85</w:t>
            </w:r>
          </w:p>
        </w:tc>
      </w:tr>
    </w:tbl>
    <w:p>
      <w:pPr>
        <w:snapToGrid w:val="0"/>
        <w:rPr>
          <w:szCs w:val="21"/>
        </w:rPr>
      </w:pPr>
    </w:p>
    <w:p>
      <w:pPr>
        <w:pStyle w:val="3"/>
        <w:snapToGrid w:val="0"/>
        <w:jc w:val="both"/>
        <w:rPr>
          <w:b/>
          <w:sz w:val="21"/>
          <w:szCs w:val="21"/>
        </w:rPr>
      </w:pPr>
      <w:r>
        <w:rPr>
          <w:b/>
          <w:sz w:val="21"/>
          <w:szCs w:val="21"/>
        </w:rPr>
        <w:t>Section 3 Hazards identification</w:t>
      </w:r>
    </w:p>
    <w:p>
      <w:pPr>
        <w:pStyle w:val="4"/>
        <w:rPr>
          <w:szCs w:val="21"/>
        </w:rPr>
      </w:pPr>
    </w:p>
    <w:p>
      <w:pPr>
        <w:spacing w:line="239" w:lineRule="auto"/>
        <w:ind w:left="140"/>
        <w:jc w:val="both"/>
        <w:rPr>
          <w:rFonts w:eastAsia="Arial"/>
          <w:szCs w:val="21"/>
        </w:rPr>
      </w:pPr>
      <w:r>
        <w:rPr>
          <w:rFonts w:eastAsia="Arial"/>
          <w:b/>
          <w:szCs w:val="21"/>
        </w:rPr>
        <w:t xml:space="preserve">Eye Contact: </w:t>
      </w:r>
      <w:r>
        <w:rPr>
          <w:rFonts w:eastAsia="Arial"/>
          <w:szCs w:val="21"/>
        </w:rPr>
        <w:t>May cause moderate eye irritation. May cause moderate corneal injury.</w:t>
      </w:r>
    </w:p>
    <w:p>
      <w:pPr>
        <w:spacing w:line="11" w:lineRule="exact"/>
        <w:jc w:val="both"/>
        <w:rPr>
          <w:rFonts w:eastAsia="Times New Roman"/>
          <w:szCs w:val="21"/>
        </w:rPr>
      </w:pPr>
    </w:p>
    <w:p>
      <w:pPr>
        <w:spacing w:line="234" w:lineRule="auto"/>
        <w:ind w:left="140" w:right="120"/>
        <w:jc w:val="both"/>
        <w:rPr>
          <w:rFonts w:eastAsia="Arial"/>
          <w:szCs w:val="21"/>
        </w:rPr>
      </w:pPr>
      <w:r>
        <w:rPr>
          <w:rFonts w:eastAsia="Arial"/>
          <w:b/>
          <w:szCs w:val="21"/>
        </w:rPr>
        <w:t xml:space="preserve">Skin Contact: </w:t>
      </w:r>
      <w:r>
        <w:rPr>
          <w:rFonts w:eastAsia="Arial"/>
          <w:szCs w:val="21"/>
        </w:rPr>
        <w:t>Prolonged contact may cause slight skin irritation with local redness. Repeated contact</w:t>
      </w:r>
      <w:r>
        <w:rPr>
          <w:rFonts w:eastAsia="Arial"/>
          <w:b/>
          <w:szCs w:val="21"/>
        </w:rPr>
        <w:t xml:space="preserve"> </w:t>
      </w:r>
      <w:r>
        <w:rPr>
          <w:rFonts w:eastAsia="Arial"/>
          <w:szCs w:val="21"/>
        </w:rPr>
        <w:t>may cause skin burns. Symptoms may include pain, severe local redness, swelling, and tissue</w:t>
      </w:r>
      <w:bookmarkStart w:id="0" w:name="page2"/>
      <w:bookmarkEnd w:id="0"/>
      <w:r>
        <w:rPr>
          <w:szCs w:val="21"/>
        </w:rPr>
        <w:t xml:space="preserve"> </w:t>
      </w:r>
      <w:r>
        <w:rPr>
          <w:rFonts w:eastAsia="Arial"/>
          <w:szCs w:val="21"/>
        </w:rPr>
        <w:t>damage. May cause more severe response if skin is abraded (scratched or cut). May cause more severe</w:t>
      </w:r>
      <w:r>
        <w:rPr>
          <w:szCs w:val="21"/>
        </w:rPr>
        <w:t xml:space="preserve"> </w:t>
      </w:r>
      <w:r>
        <w:rPr>
          <w:rFonts w:eastAsia="Arial"/>
          <w:szCs w:val="21"/>
        </w:rPr>
        <w:t>response on covered skin (under clothing, gloves).</w:t>
      </w:r>
    </w:p>
    <w:p>
      <w:pPr>
        <w:spacing w:line="234" w:lineRule="auto"/>
        <w:ind w:left="140" w:right="120"/>
        <w:jc w:val="both"/>
        <w:rPr>
          <w:rFonts w:eastAsia="Arial"/>
          <w:szCs w:val="21"/>
        </w:rPr>
      </w:pPr>
      <w:r>
        <w:rPr>
          <w:rFonts w:eastAsia="Arial"/>
          <w:b/>
          <w:szCs w:val="21"/>
        </w:rPr>
        <w:t xml:space="preserve">Skin Absorption: </w:t>
      </w:r>
      <w:r>
        <w:rPr>
          <w:rFonts w:eastAsia="Arial"/>
          <w:szCs w:val="21"/>
        </w:rPr>
        <w:t>Prolonged skin contact is unlikely to result in absorption of harmful amounts.</w:t>
      </w:r>
    </w:p>
    <w:p>
      <w:pPr>
        <w:spacing w:line="234" w:lineRule="auto"/>
        <w:ind w:left="140" w:right="120"/>
        <w:jc w:val="both"/>
        <w:rPr>
          <w:rFonts w:eastAsia="Arial"/>
          <w:szCs w:val="21"/>
        </w:rPr>
      </w:pPr>
      <w:r>
        <w:rPr>
          <w:rFonts w:eastAsia="Arial"/>
          <w:b/>
          <w:szCs w:val="21"/>
        </w:rPr>
        <w:t xml:space="preserve">Inhalation: </w:t>
      </w:r>
      <w:r>
        <w:rPr>
          <w:rFonts w:eastAsia="Arial"/>
          <w:szCs w:val="21"/>
        </w:rPr>
        <w:t>At room temperature, exposure to vapor is minimal due to low volatility. Vapor from heated</w:t>
      </w:r>
      <w:r>
        <w:rPr>
          <w:rFonts w:eastAsia="Arial"/>
          <w:b/>
          <w:szCs w:val="21"/>
        </w:rPr>
        <w:t xml:space="preserve"> </w:t>
      </w:r>
      <w:r>
        <w:rPr>
          <w:rFonts w:eastAsia="Arial"/>
          <w:szCs w:val="21"/>
        </w:rPr>
        <w:t>material may cause respiratory irritation and other effects.</w:t>
      </w:r>
    </w:p>
    <w:p>
      <w:pPr>
        <w:spacing w:line="234" w:lineRule="auto"/>
        <w:ind w:left="140" w:right="120"/>
        <w:jc w:val="both"/>
        <w:rPr>
          <w:rFonts w:eastAsia="Arial"/>
          <w:szCs w:val="21"/>
        </w:rPr>
      </w:pPr>
      <w:r>
        <w:rPr>
          <w:rFonts w:eastAsia="Arial"/>
          <w:b/>
          <w:szCs w:val="21"/>
        </w:rPr>
        <w:t xml:space="preserve">Ingestion: </w:t>
      </w:r>
      <w:r>
        <w:rPr>
          <w:rFonts w:eastAsia="Arial"/>
          <w:szCs w:val="21"/>
        </w:rPr>
        <w:t>Low toxicity if swallowed. Small amounts swallowed incidentally as a result of normal</w:t>
      </w:r>
      <w:r>
        <w:rPr>
          <w:rFonts w:eastAsia="Arial"/>
          <w:b/>
          <w:szCs w:val="21"/>
        </w:rPr>
        <w:t xml:space="preserve"> </w:t>
      </w:r>
      <w:r>
        <w:rPr>
          <w:rFonts w:eastAsia="Arial"/>
          <w:szCs w:val="21"/>
        </w:rPr>
        <w:t>handling operations are not likely to cause injury; however, swallowing larger amounts may cause injury. Swallowing may result in gastrointestinal irritation.</w:t>
      </w:r>
    </w:p>
    <w:p>
      <w:pPr>
        <w:spacing w:line="234" w:lineRule="auto"/>
        <w:ind w:right="120"/>
        <w:jc w:val="both"/>
        <w:rPr>
          <w:rFonts w:eastAsia="Arial"/>
          <w:szCs w:val="21"/>
        </w:rPr>
      </w:pPr>
      <w:r>
        <w:rPr>
          <w:rFonts w:eastAsia="Arial"/>
          <w:b/>
          <w:szCs w:val="21"/>
        </w:rPr>
        <w:t xml:space="preserve">Aspiration hazard: </w:t>
      </w:r>
      <w:r>
        <w:rPr>
          <w:rFonts w:eastAsia="Arial"/>
          <w:szCs w:val="21"/>
        </w:rPr>
        <w:t>Based on physical properties, not likely to be an aspiration hazard.</w:t>
      </w:r>
    </w:p>
    <w:p>
      <w:pPr>
        <w:spacing w:line="234" w:lineRule="auto"/>
        <w:ind w:right="120"/>
        <w:jc w:val="both"/>
        <w:rPr>
          <w:rFonts w:eastAsia="Arial"/>
          <w:szCs w:val="21"/>
        </w:rPr>
      </w:pPr>
    </w:p>
    <w:p>
      <w:pPr>
        <w:pStyle w:val="3"/>
        <w:snapToGrid w:val="0"/>
        <w:jc w:val="both"/>
        <w:rPr>
          <w:b/>
          <w:sz w:val="21"/>
          <w:szCs w:val="21"/>
        </w:rPr>
      </w:pPr>
      <w:r>
        <w:rPr>
          <w:b/>
          <w:sz w:val="21"/>
          <w:szCs w:val="21"/>
        </w:rPr>
        <w:t>Section 4 Emergency and first aid procedure</w:t>
      </w:r>
    </w:p>
    <w:p>
      <w:pPr>
        <w:pStyle w:val="5"/>
        <w:jc w:val="both"/>
        <w:rPr>
          <w:rFonts w:ascii="Times New Roman"/>
          <w:b w:val="0"/>
          <w:bCs w:val="0"/>
          <w:sz w:val="21"/>
          <w:szCs w:val="21"/>
        </w:rPr>
      </w:pPr>
      <w:r>
        <w:rPr>
          <w:rFonts w:ascii="Times New Roman"/>
          <w:b/>
          <w:bCs/>
          <w:sz w:val="21"/>
          <w:szCs w:val="21"/>
        </w:rPr>
        <w:t xml:space="preserve">Eye: </w:t>
      </w:r>
      <w:r>
        <w:rPr>
          <w:rFonts w:hint="eastAsia" w:ascii="Times New Roman"/>
          <w:b w:val="0"/>
          <w:bCs w:val="0"/>
          <w:sz w:val="21"/>
          <w:szCs w:val="21"/>
        </w:rPr>
        <w:t>Immediately flush eyes in clear running water for at least 15 minutes, lifting upper and lower lids periodically. Get medical consultant immediately and preferable an eye specialist.</w:t>
      </w:r>
    </w:p>
    <w:p>
      <w:pPr>
        <w:pStyle w:val="5"/>
        <w:jc w:val="both"/>
        <w:rPr>
          <w:rFonts w:ascii="Times New Roman"/>
          <w:sz w:val="21"/>
          <w:szCs w:val="21"/>
        </w:rPr>
      </w:pPr>
      <w:r>
        <w:rPr>
          <w:rFonts w:ascii="Times New Roman"/>
          <w:b/>
          <w:bCs/>
          <w:sz w:val="21"/>
          <w:szCs w:val="21"/>
        </w:rPr>
        <w:t xml:space="preserve">Skin: </w:t>
      </w:r>
      <w:r>
        <w:rPr>
          <w:rFonts w:ascii="Times New Roman"/>
          <w:sz w:val="21"/>
          <w:szCs w:val="21"/>
        </w:rPr>
        <w:t>Wash off in flowing water.</w:t>
      </w:r>
    </w:p>
    <w:p>
      <w:pPr>
        <w:pStyle w:val="5"/>
        <w:ind w:left="791" w:hanging="791" w:hangingChars="375"/>
        <w:jc w:val="both"/>
        <w:rPr>
          <w:rFonts w:ascii="Times New Roman"/>
          <w:sz w:val="21"/>
          <w:szCs w:val="21"/>
        </w:rPr>
      </w:pPr>
      <w:r>
        <w:rPr>
          <w:rFonts w:ascii="Times New Roman"/>
          <w:b/>
          <w:bCs/>
          <w:sz w:val="21"/>
          <w:szCs w:val="21"/>
        </w:rPr>
        <w:t xml:space="preserve">Ingestion: </w:t>
      </w:r>
      <w:r>
        <w:rPr>
          <w:rFonts w:ascii="Times New Roman"/>
          <w:sz w:val="21"/>
          <w:szCs w:val="21"/>
        </w:rPr>
        <w:t>Seek medical consultant. Do not vomit unless directed to do so by a medical personnel.</w:t>
      </w:r>
    </w:p>
    <w:p>
      <w:pPr>
        <w:pStyle w:val="5"/>
        <w:jc w:val="both"/>
        <w:rPr>
          <w:rFonts w:ascii="Times New Roman"/>
          <w:sz w:val="21"/>
          <w:szCs w:val="21"/>
        </w:rPr>
      </w:pPr>
      <w:r>
        <w:rPr>
          <w:rFonts w:ascii="Times New Roman"/>
          <w:b/>
          <w:bCs/>
          <w:sz w:val="21"/>
          <w:szCs w:val="21"/>
        </w:rPr>
        <w:t xml:space="preserve">Inhalation: </w:t>
      </w:r>
      <w:r>
        <w:rPr>
          <w:rFonts w:ascii="Times New Roman"/>
          <w:sz w:val="21"/>
          <w:szCs w:val="21"/>
        </w:rPr>
        <w:t xml:space="preserve">Remove the patient to fresh air. </w:t>
      </w:r>
    </w:p>
    <w:p>
      <w:pPr>
        <w:snapToGrid w:val="0"/>
        <w:rPr>
          <w:szCs w:val="21"/>
        </w:rPr>
      </w:pPr>
    </w:p>
    <w:p>
      <w:pPr>
        <w:pStyle w:val="3"/>
        <w:snapToGrid w:val="0"/>
        <w:jc w:val="both"/>
        <w:rPr>
          <w:b/>
          <w:sz w:val="21"/>
          <w:szCs w:val="21"/>
        </w:rPr>
      </w:pPr>
      <w:r>
        <w:rPr>
          <w:b/>
          <w:sz w:val="21"/>
          <w:szCs w:val="21"/>
        </w:rPr>
        <w:t>Section 5 Fire-fighting measures</w:t>
      </w:r>
    </w:p>
    <w:p>
      <w:pPr>
        <w:pStyle w:val="4"/>
        <w:rPr>
          <w:szCs w:val="21"/>
        </w:rPr>
      </w:pPr>
    </w:p>
    <w:p>
      <w:pPr>
        <w:snapToGrid w:val="0"/>
        <w:rPr>
          <w:szCs w:val="21"/>
        </w:rPr>
      </w:pPr>
      <w:r>
        <w:rPr>
          <w:b/>
          <w:bCs/>
          <w:szCs w:val="21"/>
        </w:rPr>
        <w:t xml:space="preserve">Flash point: </w:t>
      </w:r>
      <w:r>
        <w:rPr>
          <w:szCs w:val="21"/>
        </w:rPr>
        <w:t>Above 160</w:t>
      </w:r>
      <w:r>
        <w:rPr>
          <w:rFonts w:eastAsia="Arial"/>
          <w:szCs w:val="21"/>
        </w:rPr>
        <w:t xml:space="preserve">°C </w:t>
      </w:r>
    </w:p>
    <w:p>
      <w:pPr>
        <w:pStyle w:val="9"/>
        <w:rPr>
          <w:rFonts w:ascii="Times New Roman"/>
          <w:sz w:val="21"/>
          <w:szCs w:val="21"/>
        </w:rPr>
      </w:pPr>
      <w:r>
        <w:rPr>
          <w:rFonts w:ascii="Times New Roman"/>
          <w:sz w:val="21"/>
          <w:szCs w:val="21"/>
        </w:rPr>
        <w:t xml:space="preserve">Flammability limits: </w:t>
      </w:r>
    </w:p>
    <w:p>
      <w:pPr>
        <w:snapToGrid w:val="0"/>
        <w:ind w:firstLine="787" w:firstLineChars="375"/>
        <w:rPr>
          <w:szCs w:val="21"/>
        </w:rPr>
      </w:pPr>
      <w:r>
        <w:rPr>
          <w:szCs w:val="21"/>
        </w:rPr>
        <w:t>LFT: Not determined.</w:t>
      </w:r>
    </w:p>
    <w:p>
      <w:pPr>
        <w:snapToGrid w:val="0"/>
        <w:ind w:firstLine="787" w:firstLineChars="375"/>
        <w:rPr>
          <w:szCs w:val="21"/>
        </w:rPr>
      </w:pPr>
      <w:r>
        <w:rPr>
          <w:szCs w:val="21"/>
        </w:rPr>
        <w:t>UFT: Not determined.</w:t>
      </w:r>
    </w:p>
    <w:p>
      <w:pPr>
        <w:snapToGrid w:val="0"/>
        <w:rPr>
          <w:szCs w:val="21"/>
        </w:rPr>
      </w:pPr>
      <w:r>
        <w:rPr>
          <w:b/>
          <w:bCs/>
          <w:szCs w:val="21"/>
        </w:rPr>
        <w:t>Extinguishing Media:</w:t>
      </w:r>
      <w:r>
        <w:rPr>
          <w:szCs w:val="21"/>
        </w:rPr>
        <w:t xml:space="preserve"> Water fog or fine spray, carbon dioxide, dry chemical, foam. Alcohol resistant foams are preferred if available. Do not use direct water stream. Will spread fire.</w:t>
      </w:r>
    </w:p>
    <w:p>
      <w:pPr>
        <w:snapToGrid w:val="0"/>
        <w:rPr>
          <w:szCs w:val="21"/>
        </w:rPr>
      </w:pPr>
      <w:r>
        <w:rPr>
          <w:szCs w:val="21"/>
        </w:rPr>
        <w:t xml:space="preserve">Fire fighters wear positive-pressure, self-contained breathing apparatus and protective fire-fighting clothing. </w:t>
      </w:r>
    </w:p>
    <w:p>
      <w:pPr>
        <w:snapToGrid w:val="0"/>
        <w:rPr>
          <w:szCs w:val="21"/>
        </w:rPr>
      </w:pPr>
    </w:p>
    <w:p>
      <w:pPr>
        <w:pStyle w:val="3"/>
        <w:snapToGrid w:val="0"/>
        <w:jc w:val="both"/>
        <w:rPr>
          <w:b/>
          <w:sz w:val="21"/>
          <w:szCs w:val="21"/>
        </w:rPr>
      </w:pPr>
      <w:r>
        <w:rPr>
          <w:b/>
          <w:sz w:val="21"/>
          <w:szCs w:val="21"/>
        </w:rPr>
        <w:t>Section 6 Leakage hazard data</w:t>
      </w:r>
    </w:p>
    <w:p>
      <w:pPr>
        <w:pStyle w:val="4"/>
        <w:rPr>
          <w:szCs w:val="21"/>
        </w:rPr>
      </w:pPr>
    </w:p>
    <w:p>
      <w:pPr>
        <w:snapToGrid w:val="0"/>
        <w:rPr>
          <w:szCs w:val="21"/>
        </w:rPr>
      </w:pPr>
      <w:r>
        <w:rPr>
          <w:szCs w:val="21"/>
        </w:rPr>
        <w:t xml:space="preserve">The fire source should be removed first and keep the room ventilated. People dealing with the leakage should be protected as the section 5 has said and use enough sodium acid sulfate to cover the leakage. Then saturate with alkali. The waste liquid should be collected and put in open containers. </w:t>
      </w:r>
    </w:p>
    <w:p>
      <w:pPr>
        <w:snapToGrid w:val="0"/>
        <w:rPr>
          <w:szCs w:val="21"/>
        </w:rPr>
      </w:pPr>
    </w:p>
    <w:p>
      <w:pPr>
        <w:pStyle w:val="3"/>
        <w:snapToGrid w:val="0"/>
        <w:jc w:val="both"/>
        <w:rPr>
          <w:b/>
          <w:sz w:val="21"/>
          <w:szCs w:val="21"/>
        </w:rPr>
      </w:pPr>
      <w:r>
        <w:rPr>
          <w:b/>
          <w:sz w:val="21"/>
          <w:szCs w:val="21"/>
        </w:rPr>
        <w:t>Section 7 Handling and storage</w:t>
      </w:r>
    </w:p>
    <w:p>
      <w:pPr>
        <w:pStyle w:val="4"/>
        <w:rPr>
          <w:szCs w:val="21"/>
        </w:rPr>
      </w:pPr>
    </w:p>
    <w:p>
      <w:pPr>
        <w:spacing w:beforeAutospacing="1" w:afterAutospacing="1"/>
        <w:rPr>
          <w:color w:val="000000"/>
          <w:szCs w:val="21"/>
        </w:rPr>
      </w:pPr>
      <w:r>
        <w:rPr>
          <w:color w:val="000000"/>
          <w:szCs w:val="21"/>
          <w:lang w:bidi="ar"/>
        </w:rPr>
        <w:t>Handle with care. The container should be protected from attack, high pressure, collapse; friction and is not suitable to roll in the case. Labels outside the container should be kept in place. All the related electronic equipment should conform to certain fire standards. Most important of all, the outer package should not be damaged.</w:t>
      </w:r>
    </w:p>
    <w:p>
      <w:pPr>
        <w:spacing w:beforeAutospacing="1" w:afterAutospacing="1"/>
        <w:rPr>
          <w:color w:val="000000"/>
          <w:szCs w:val="21"/>
        </w:rPr>
      </w:pPr>
      <w:r>
        <w:rPr>
          <w:color w:val="000000"/>
          <w:szCs w:val="21"/>
          <w:lang w:bidi="ar"/>
        </w:rPr>
        <w:t>Store sealed in a cool, dry, well ventilated area away from acids, alkali, oxidizers, toxic or corrosive materials, combustible or explosive materials, long exposure to the sunlight. Do not roll containers. Stored in steel containers. Avoid to contact with copper or copper containing metals.  When the freezing point of TIPA is low , e.g. 15% of water content, aluminum containers is not suitable.  The container and its related equipment should be heated, insulated around 100</w:t>
      </w:r>
      <w:r>
        <w:rPr>
          <w:rFonts w:hint="eastAsia" w:ascii="宋体" w:hAnsi="宋体" w:cs="宋体"/>
          <w:color w:val="000000"/>
          <w:szCs w:val="21"/>
          <w:lang w:bidi="ar"/>
        </w:rPr>
        <w:t>℃</w:t>
      </w:r>
      <w:r>
        <w:rPr>
          <w:color w:val="000000"/>
          <w:szCs w:val="21"/>
          <w:lang w:bidi="ar"/>
        </w:rPr>
        <w:t>. Use centrifugal pump to feed TIPA and seal the closure mechanically with TEFLON resin or asbestos fillings.</w:t>
      </w:r>
    </w:p>
    <w:p>
      <w:pPr>
        <w:snapToGrid w:val="0"/>
        <w:rPr>
          <w:szCs w:val="21"/>
        </w:rPr>
      </w:pPr>
    </w:p>
    <w:p>
      <w:pPr>
        <w:pStyle w:val="3"/>
        <w:snapToGrid w:val="0"/>
        <w:jc w:val="both"/>
        <w:rPr>
          <w:b/>
          <w:sz w:val="21"/>
          <w:szCs w:val="21"/>
        </w:rPr>
      </w:pPr>
      <w:r>
        <w:rPr>
          <w:b/>
          <w:sz w:val="21"/>
          <w:szCs w:val="21"/>
        </w:rPr>
        <w:t>Section 8 Exposure controls or personal protection</w:t>
      </w:r>
    </w:p>
    <w:p>
      <w:pPr>
        <w:pStyle w:val="4"/>
        <w:rPr>
          <w:szCs w:val="21"/>
        </w:rPr>
      </w:pPr>
    </w:p>
    <w:p>
      <w:pPr>
        <w:pStyle w:val="9"/>
        <w:rPr>
          <w:rFonts w:ascii="Times New Roman"/>
          <w:b/>
          <w:bCs/>
          <w:color w:val="000000"/>
          <w:sz w:val="21"/>
          <w:szCs w:val="21"/>
        </w:rPr>
      </w:pPr>
      <w:r>
        <w:rPr>
          <w:rFonts w:ascii="Times New Roman"/>
          <w:b/>
          <w:bCs/>
          <w:color w:val="000000"/>
          <w:sz w:val="21"/>
          <w:szCs w:val="21"/>
        </w:rPr>
        <w:t>Additional information about design of Technical systems:</w:t>
      </w:r>
    </w:p>
    <w:p>
      <w:pPr>
        <w:pStyle w:val="9"/>
        <w:rPr>
          <w:rFonts w:ascii="Times New Roman"/>
          <w:bCs/>
          <w:color w:val="000000"/>
          <w:sz w:val="21"/>
          <w:szCs w:val="21"/>
        </w:rPr>
      </w:pPr>
      <w:r>
        <w:rPr>
          <w:rFonts w:ascii="Times New Roman"/>
          <w:bCs/>
          <w:color w:val="000000"/>
          <w:sz w:val="21"/>
          <w:szCs w:val="21"/>
        </w:rPr>
        <w:t>Properly operating chemical fume hood designed for hazardous chemicals and having an average face velocity of at least 100 feet per minute.</w:t>
      </w:r>
    </w:p>
    <w:p>
      <w:pPr>
        <w:pStyle w:val="9"/>
        <w:rPr>
          <w:rFonts w:ascii="Times New Roman"/>
          <w:b/>
          <w:bCs/>
          <w:color w:val="000000"/>
          <w:sz w:val="21"/>
          <w:szCs w:val="21"/>
        </w:rPr>
      </w:pPr>
    </w:p>
    <w:p>
      <w:pPr>
        <w:pStyle w:val="9"/>
        <w:rPr>
          <w:rFonts w:ascii="Times New Roman"/>
          <w:b/>
          <w:bCs/>
          <w:color w:val="000000"/>
          <w:sz w:val="21"/>
          <w:szCs w:val="21"/>
        </w:rPr>
      </w:pPr>
      <w:r>
        <w:rPr>
          <w:rFonts w:ascii="Times New Roman"/>
          <w:b/>
          <w:bCs/>
          <w:color w:val="000000"/>
          <w:sz w:val="21"/>
          <w:szCs w:val="21"/>
        </w:rPr>
        <w:t>8.1 Control parameters</w:t>
      </w:r>
    </w:p>
    <w:p>
      <w:pPr>
        <w:pStyle w:val="9"/>
        <w:rPr>
          <w:rFonts w:ascii="Times New Roman"/>
          <w:b/>
          <w:bCs/>
          <w:color w:val="000000"/>
          <w:sz w:val="21"/>
          <w:szCs w:val="21"/>
        </w:rPr>
      </w:pPr>
      <w:r>
        <w:rPr>
          <w:rFonts w:ascii="Times New Roman"/>
          <w:b/>
          <w:bCs/>
          <w:color w:val="000000"/>
          <w:sz w:val="21"/>
          <w:szCs w:val="21"/>
        </w:rPr>
        <w:t>Components with critical values that require monitoring at the workplace:</w:t>
      </w:r>
    </w:p>
    <w:p>
      <w:pPr>
        <w:pStyle w:val="9"/>
        <w:rPr>
          <w:rFonts w:ascii="Times New Roman"/>
          <w:bCs/>
          <w:color w:val="000000"/>
          <w:sz w:val="21"/>
          <w:szCs w:val="21"/>
        </w:rPr>
      </w:pPr>
      <w:r>
        <w:rPr>
          <w:rFonts w:ascii="Times New Roman"/>
          <w:bCs/>
          <w:color w:val="000000"/>
          <w:sz w:val="21"/>
          <w:szCs w:val="21"/>
        </w:rPr>
        <w:t>Not required.</w:t>
      </w:r>
    </w:p>
    <w:p>
      <w:pPr>
        <w:pStyle w:val="9"/>
        <w:rPr>
          <w:rFonts w:ascii="Times New Roman"/>
          <w:b/>
          <w:bCs/>
          <w:color w:val="000000"/>
          <w:sz w:val="21"/>
          <w:szCs w:val="21"/>
        </w:rPr>
      </w:pPr>
      <w:r>
        <w:rPr>
          <w:rFonts w:ascii="Times New Roman"/>
          <w:b/>
          <w:bCs/>
          <w:color w:val="000000"/>
          <w:sz w:val="21"/>
          <w:szCs w:val="21"/>
        </w:rPr>
        <w:t xml:space="preserve">Additional information: </w:t>
      </w:r>
      <w:r>
        <w:rPr>
          <w:rFonts w:ascii="Times New Roman"/>
          <w:bCs/>
          <w:color w:val="000000"/>
          <w:sz w:val="21"/>
          <w:szCs w:val="21"/>
        </w:rPr>
        <w:t>No data</w:t>
      </w:r>
    </w:p>
    <w:p>
      <w:pPr>
        <w:pStyle w:val="9"/>
        <w:rPr>
          <w:rFonts w:ascii="Times New Roman"/>
          <w:b/>
          <w:bCs/>
          <w:color w:val="000000"/>
          <w:sz w:val="21"/>
          <w:szCs w:val="21"/>
        </w:rPr>
      </w:pPr>
      <w:r>
        <w:rPr>
          <w:rFonts w:ascii="Times New Roman"/>
          <w:b/>
          <w:bCs/>
          <w:color w:val="000000"/>
          <w:sz w:val="21"/>
          <w:szCs w:val="21"/>
        </w:rPr>
        <w:t>8.2 Exposure controls</w:t>
      </w:r>
    </w:p>
    <w:p>
      <w:pPr>
        <w:pStyle w:val="9"/>
        <w:rPr>
          <w:rFonts w:ascii="Times New Roman"/>
          <w:b/>
          <w:bCs/>
          <w:color w:val="000000"/>
          <w:sz w:val="21"/>
          <w:szCs w:val="21"/>
        </w:rPr>
      </w:pPr>
      <w:r>
        <w:rPr>
          <w:rFonts w:ascii="Times New Roman"/>
          <w:b/>
          <w:bCs/>
          <w:color w:val="000000"/>
          <w:sz w:val="21"/>
          <w:szCs w:val="21"/>
        </w:rPr>
        <w:t>Personal protective equipment</w:t>
      </w:r>
    </w:p>
    <w:p>
      <w:pPr>
        <w:pStyle w:val="9"/>
        <w:rPr>
          <w:rFonts w:ascii="Times New Roman"/>
          <w:b/>
          <w:bCs/>
          <w:color w:val="000000"/>
          <w:sz w:val="21"/>
          <w:szCs w:val="21"/>
        </w:rPr>
      </w:pPr>
      <w:r>
        <w:rPr>
          <w:rFonts w:ascii="Times New Roman"/>
          <w:b/>
          <w:bCs/>
          <w:color w:val="000000"/>
          <w:sz w:val="21"/>
          <w:szCs w:val="21"/>
        </w:rPr>
        <w:t>General protective and hygienic measures:</w:t>
      </w:r>
    </w:p>
    <w:p>
      <w:pPr>
        <w:pStyle w:val="9"/>
        <w:rPr>
          <w:rFonts w:ascii="Times New Roman"/>
          <w:bCs/>
          <w:color w:val="000000"/>
          <w:sz w:val="21"/>
          <w:szCs w:val="21"/>
        </w:rPr>
      </w:pPr>
      <w:r>
        <w:rPr>
          <w:rFonts w:ascii="Times New Roman"/>
          <w:bCs/>
          <w:color w:val="000000"/>
          <w:sz w:val="21"/>
          <w:szCs w:val="21"/>
        </w:rPr>
        <w:t>The usual precautionary measures should be adhered to in handing the chemical.</w:t>
      </w:r>
    </w:p>
    <w:p>
      <w:pPr>
        <w:pStyle w:val="9"/>
        <w:rPr>
          <w:rFonts w:ascii="Times New Roman"/>
          <w:bCs/>
          <w:color w:val="000000"/>
          <w:sz w:val="21"/>
          <w:szCs w:val="21"/>
        </w:rPr>
      </w:pPr>
      <w:r>
        <w:rPr>
          <w:rFonts w:ascii="Times New Roman"/>
          <w:bCs/>
          <w:color w:val="000000"/>
          <w:sz w:val="21"/>
          <w:szCs w:val="21"/>
        </w:rPr>
        <w:t>Keep away from foodstuffs, beverages and food.</w:t>
      </w:r>
    </w:p>
    <w:p>
      <w:pPr>
        <w:pStyle w:val="9"/>
        <w:rPr>
          <w:rFonts w:ascii="Times New Roman"/>
          <w:bCs/>
          <w:color w:val="000000"/>
          <w:sz w:val="21"/>
          <w:szCs w:val="21"/>
        </w:rPr>
      </w:pPr>
      <w:r>
        <w:rPr>
          <w:rFonts w:ascii="Times New Roman"/>
          <w:bCs/>
          <w:color w:val="000000"/>
          <w:sz w:val="21"/>
          <w:szCs w:val="21"/>
        </w:rPr>
        <w:t>Instantly remove and soiled impregnated garments.</w:t>
      </w:r>
    </w:p>
    <w:p>
      <w:pPr>
        <w:pStyle w:val="9"/>
        <w:rPr>
          <w:rFonts w:ascii="Times New Roman"/>
          <w:bCs/>
          <w:color w:val="000000"/>
          <w:sz w:val="21"/>
          <w:szCs w:val="21"/>
        </w:rPr>
      </w:pPr>
      <w:r>
        <w:rPr>
          <w:rFonts w:ascii="Times New Roman"/>
          <w:bCs/>
          <w:color w:val="000000"/>
          <w:sz w:val="21"/>
          <w:szCs w:val="21"/>
        </w:rPr>
        <w:t>Wash hands during breaks and at the end of the work.</w:t>
      </w:r>
    </w:p>
    <w:p>
      <w:pPr>
        <w:pStyle w:val="9"/>
        <w:rPr>
          <w:rFonts w:ascii="Times New Roman"/>
          <w:bCs/>
          <w:color w:val="000000"/>
          <w:sz w:val="21"/>
          <w:szCs w:val="21"/>
        </w:rPr>
      </w:pPr>
      <w:r>
        <w:rPr>
          <w:rFonts w:ascii="Times New Roman"/>
          <w:bCs/>
          <w:color w:val="000000"/>
          <w:sz w:val="21"/>
          <w:szCs w:val="21"/>
        </w:rPr>
        <w:t>Avoid contact with the eyes.</w:t>
      </w:r>
    </w:p>
    <w:p>
      <w:pPr>
        <w:pStyle w:val="9"/>
        <w:rPr>
          <w:rFonts w:ascii="Times New Roman"/>
          <w:bCs/>
          <w:color w:val="000000"/>
          <w:sz w:val="21"/>
          <w:szCs w:val="21"/>
        </w:rPr>
      </w:pPr>
      <w:r>
        <w:rPr>
          <w:rFonts w:ascii="Times New Roman"/>
          <w:bCs/>
          <w:color w:val="000000"/>
          <w:sz w:val="21"/>
          <w:szCs w:val="21"/>
        </w:rPr>
        <w:t>Avoid contact with the eyes and skin.</w:t>
      </w:r>
    </w:p>
    <w:p>
      <w:pPr>
        <w:pStyle w:val="9"/>
        <w:rPr>
          <w:rFonts w:ascii="Times New Roman"/>
          <w:bCs/>
          <w:color w:val="000000"/>
          <w:sz w:val="21"/>
          <w:szCs w:val="21"/>
        </w:rPr>
      </w:pPr>
      <w:r>
        <w:rPr>
          <w:rFonts w:ascii="Times New Roman"/>
          <w:bCs/>
          <w:color w:val="000000"/>
          <w:sz w:val="21"/>
          <w:szCs w:val="21"/>
        </w:rPr>
        <w:t>Maintain and ergonomically appropriate working environments.</w:t>
      </w:r>
    </w:p>
    <w:p>
      <w:pPr>
        <w:pStyle w:val="9"/>
        <w:rPr>
          <w:rFonts w:ascii="Times New Roman"/>
          <w:b/>
          <w:bCs/>
          <w:color w:val="000000"/>
          <w:sz w:val="21"/>
          <w:szCs w:val="21"/>
        </w:rPr>
      </w:pPr>
      <w:r>
        <w:rPr>
          <w:rFonts w:ascii="Times New Roman"/>
          <w:b/>
          <w:bCs/>
          <w:color w:val="000000"/>
          <w:sz w:val="21"/>
          <w:szCs w:val="21"/>
        </w:rPr>
        <w:t xml:space="preserve">Breathing equipment: </w:t>
      </w:r>
      <w:r>
        <w:rPr>
          <w:rFonts w:ascii="Times New Roman"/>
          <w:bCs/>
          <w:color w:val="000000"/>
          <w:sz w:val="21"/>
          <w:szCs w:val="21"/>
        </w:rPr>
        <w:t>Use breathing protection with high concentrations.</w:t>
      </w:r>
    </w:p>
    <w:p>
      <w:pPr>
        <w:pStyle w:val="9"/>
        <w:rPr>
          <w:rFonts w:ascii="Times New Roman"/>
          <w:b/>
          <w:bCs/>
          <w:color w:val="000000"/>
          <w:sz w:val="21"/>
          <w:szCs w:val="21"/>
        </w:rPr>
      </w:pPr>
      <w:r>
        <w:rPr>
          <w:rFonts w:ascii="Times New Roman"/>
          <w:b/>
          <w:bCs/>
          <w:color w:val="000000"/>
          <w:sz w:val="21"/>
          <w:szCs w:val="21"/>
        </w:rPr>
        <w:t>Protection of hands:</w:t>
      </w:r>
    </w:p>
    <w:p>
      <w:pPr>
        <w:pStyle w:val="9"/>
        <w:rPr>
          <w:rFonts w:ascii="Times New Roman"/>
          <w:b/>
          <w:bCs/>
          <w:color w:val="000000"/>
          <w:sz w:val="21"/>
          <w:szCs w:val="21"/>
        </w:rPr>
      </w:pPr>
      <w:r>
        <w:rPr>
          <w:rFonts w:ascii="Times New Roman"/>
          <w:bCs/>
          <w:color w:val="000000"/>
          <w:sz w:val="21"/>
          <w:szCs w:val="21"/>
        </w:rPr>
        <w:t>Check protective gloves prior to each use for their proper condition.</w:t>
      </w:r>
    </w:p>
    <w:p>
      <w:pPr>
        <w:pStyle w:val="9"/>
        <w:rPr>
          <w:rFonts w:ascii="Times New Roman"/>
          <w:bCs/>
          <w:color w:val="000000"/>
          <w:sz w:val="21"/>
          <w:szCs w:val="21"/>
        </w:rPr>
      </w:pPr>
      <w:r>
        <w:rPr>
          <w:rFonts w:ascii="Times New Roman"/>
          <w:bCs/>
          <w:color w:val="000000"/>
          <w:sz w:val="21"/>
          <w:szCs w:val="21"/>
        </w:rPr>
        <w:t>The selection of the suitable gloves does not only depend on the material, but also on further marks of quality and varies from manufacturer to manufacturer.</w:t>
      </w:r>
    </w:p>
    <w:p>
      <w:pPr>
        <w:pStyle w:val="9"/>
        <w:rPr>
          <w:rFonts w:ascii="Times New Roman"/>
          <w:b/>
          <w:bCs/>
          <w:color w:val="000000"/>
          <w:sz w:val="21"/>
          <w:szCs w:val="21"/>
        </w:rPr>
      </w:pPr>
      <w:r>
        <w:rPr>
          <w:rFonts w:ascii="Times New Roman"/>
          <w:b/>
          <w:bCs/>
          <w:color w:val="000000"/>
          <w:sz w:val="21"/>
          <w:szCs w:val="21"/>
        </w:rPr>
        <w:t xml:space="preserve">Material of gloves: </w:t>
      </w:r>
      <w:r>
        <w:rPr>
          <w:rFonts w:ascii="Times New Roman"/>
          <w:bCs/>
          <w:color w:val="000000"/>
          <w:sz w:val="21"/>
          <w:szCs w:val="21"/>
        </w:rPr>
        <w:t>Impervious gloves</w:t>
      </w:r>
    </w:p>
    <w:p>
      <w:pPr>
        <w:pStyle w:val="9"/>
        <w:rPr>
          <w:rFonts w:ascii="Times New Roman"/>
          <w:b/>
          <w:bCs/>
          <w:color w:val="000000"/>
          <w:sz w:val="21"/>
          <w:szCs w:val="21"/>
        </w:rPr>
      </w:pPr>
      <w:r>
        <w:rPr>
          <w:rFonts w:ascii="Times New Roman"/>
          <w:b/>
          <w:bCs/>
          <w:color w:val="000000"/>
          <w:sz w:val="21"/>
          <w:szCs w:val="21"/>
        </w:rPr>
        <w:t xml:space="preserve">Penetration time of glove material: </w:t>
      </w:r>
      <w:r>
        <w:rPr>
          <w:rFonts w:ascii="Times New Roman"/>
          <w:bCs/>
          <w:color w:val="000000"/>
          <w:sz w:val="21"/>
          <w:szCs w:val="21"/>
        </w:rPr>
        <w:t>Not determined</w:t>
      </w:r>
    </w:p>
    <w:p>
      <w:pPr>
        <w:pStyle w:val="9"/>
        <w:rPr>
          <w:rFonts w:ascii="Times New Roman"/>
          <w:b/>
          <w:bCs/>
          <w:color w:val="000000"/>
          <w:sz w:val="21"/>
          <w:szCs w:val="21"/>
        </w:rPr>
      </w:pPr>
      <w:r>
        <w:rPr>
          <w:rFonts w:ascii="Times New Roman"/>
          <w:b/>
          <w:bCs/>
          <w:color w:val="000000"/>
          <w:sz w:val="21"/>
          <w:szCs w:val="21"/>
        </w:rPr>
        <w:t xml:space="preserve">Eye protection: </w:t>
      </w:r>
      <w:r>
        <w:rPr>
          <w:rFonts w:ascii="Times New Roman"/>
          <w:bCs/>
          <w:color w:val="000000"/>
          <w:sz w:val="21"/>
          <w:szCs w:val="21"/>
        </w:rPr>
        <w:t>Safety glasses</w:t>
      </w:r>
    </w:p>
    <w:p>
      <w:pPr>
        <w:pStyle w:val="9"/>
        <w:rPr>
          <w:rFonts w:ascii="Times New Roman"/>
          <w:b/>
          <w:bCs/>
          <w:color w:val="000000"/>
          <w:sz w:val="21"/>
          <w:szCs w:val="21"/>
        </w:rPr>
      </w:pPr>
      <w:r>
        <w:rPr>
          <w:rFonts w:ascii="Times New Roman"/>
          <w:b/>
          <w:bCs/>
          <w:color w:val="000000"/>
          <w:sz w:val="21"/>
          <w:szCs w:val="21"/>
        </w:rPr>
        <w:t xml:space="preserve">Body protection: </w:t>
      </w:r>
      <w:r>
        <w:rPr>
          <w:rFonts w:ascii="Times New Roman"/>
          <w:bCs/>
          <w:color w:val="000000"/>
          <w:sz w:val="21"/>
          <w:szCs w:val="21"/>
        </w:rPr>
        <w:t>Protective work clothing.</w:t>
      </w:r>
    </w:p>
    <w:p>
      <w:pPr>
        <w:pStyle w:val="9"/>
        <w:rPr>
          <w:rFonts w:ascii="Times New Roman"/>
          <w:b/>
          <w:bCs/>
          <w:color w:val="000000"/>
          <w:sz w:val="21"/>
          <w:szCs w:val="21"/>
        </w:rPr>
      </w:pPr>
    </w:p>
    <w:p>
      <w:pPr>
        <w:pStyle w:val="3"/>
        <w:keepNext w:val="0"/>
        <w:widowControl/>
        <w:jc w:val="both"/>
        <w:rPr>
          <w:color w:val="000000"/>
          <w:sz w:val="21"/>
          <w:szCs w:val="21"/>
        </w:rPr>
      </w:pPr>
      <w:r>
        <w:rPr>
          <w:b/>
          <w:color w:val="000000"/>
          <w:sz w:val="21"/>
          <w:szCs w:val="21"/>
        </w:rPr>
        <w:t>Section 9 Physical and chemical characteristics</w:t>
      </w:r>
    </w:p>
    <w:tbl>
      <w:tblPr>
        <w:tblStyle w:val="11"/>
        <w:tblW w:w="9053" w:type="dxa"/>
        <w:tblInd w:w="0" w:type="dxa"/>
        <w:tblLayout w:type="fixed"/>
        <w:tblCellMar>
          <w:top w:w="0" w:type="dxa"/>
          <w:left w:w="0" w:type="dxa"/>
          <w:bottom w:w="0" w:type="dxa"/>
          <w:right w:w="0" w:type="dxa"/>
        </w:tblCellMar>
      </w:tblPr>
      <w:tblGrid>
        <w:gridCol w:w="2798"/>
        <w:gridCol w:w="2430"/>
        <w:gridCol w:w="3825"/>
      </w:tblGrid>
      <w:tr>
        <w:trPr>
          <w:trHeight w:val="239" w:hRule="atLeast"/>
        </w:trPr>
        <w:tc>
          <w:tcPr>
            <w:tcW w:w="2798" w:type="dxa"/>
            <w:vAlign w:val="bottom"/>
          </w:tcPr>
          <w:p>
            <w:pPr>
              <w:spacing w:line="229" w:lineRule="exact"/>
              <w:rPr>
                <w:rFonts w:eastAsia="Arial"/>
                <w:b/>
                <w:szCs w:val="21"/>
              </w:rPr>
            </w:pPr>
            <w:r>
              <w:rPr>
                <w:b/>
                <w:szCs w:val="21"/>
              </w:rPr>
              <w:t xml:space="preserve"> </w:t>
            </w:r>
            <w:r>
              <w:rPr>
                <w:rFonts w:eastAsia="Arial"/>
                <w:b/>
                <w:szCs w:val="21"/>
              </w:rPr>
              <w:t>Appearance</w:t>
            </w:r>
          </w:p>
        </w:tc>
        <w:tc>
          <w:tcPr>
            <w:tcW w:w="6255" w:type="dxa"/>
            <w:gridSpan w:val="2"/>
            <w:vAlign w:val="bottom"/>
          </w:tcPr>
          <w:p>
            <w:pPr>
              <w:spacing w:line="0" w:lineRule="atLeast"/>
              <w:rPr>
                <w:rFonts w:eastAsia="Times New Roman"/>
                <w:szCs w:val="21"/>
              </w:rPr>
            </w:pPr>
          </w:p>
        </w:tc>
      </w:tr>
      <w:tr>
        <w:tblPrEx>
          <w:tblCellMar>
            <w:top w:w="0" w:type="dxa"/>
            <w:left w:w="0" w:type="dxa"/>
            <w:bottom w:w="0" w:type="dxa"/>
            <w:right w:w="0" w:type="dxa"/>
          </w:tblCellMar>
        </w:tblPrEx>
        <w:trPr>
          <w:trHeight w:val="242" w:hRule="atLeast"/>
        </w:trPr>
        <w:tc>
          <w:tcPr>
            <w:tcW w:w="2798" w:type="dxa"/>
            <w:vAlign w:val="bottom"/>
          </w:tcPr>
          <w:p>
            <w:pPr>
              <w:spacing w:line="229" w:lineRule="exact"/>
              <w:rPr>
                <w:rFonts w:eastAsia="Arial"/>
                <w:b/>
                <w:szCs w:val="21"/>
              </w:rPr>
            </w:pPr>
            <w:r>
              <w:rPr>
                <w:b/>
                <w:szCs w:val="21"/>
              </w:rPr>
              <w:t xml:space="preserve"> </w:t>
            </w:r>
            <w:r>
              <w:rPr>
                <w:rFonts w:eastAsia="Arial"/>
                <w:b/>
                <w:szCs w:val="21"/>
              </w:rPr>
              <w:t>Physical State</w:t>
            </w:r>
          </w:p>
        </w:tc>
        <w:tc>
          <w:tcPr>
            <w:tcW w:w="6255" w:type="dxa"/>
            <w:gridSpan w:val="2"/>
            <w:vAlign w:val="bottom"/>
          </w:tcPr>
          <w:p>
            <w:pPr>
              <w:spacing w:line="229" w:lineRule="exact"/>
              <w:ind w:left="220"/>
              <w:rPr>
                <w:rFonts w:eastAsia="Arial"/>
                <w:szCs w:val="21"/>
              </w:rPr>
            </w:pPr>
            <w:r>
              <w:rPr>
                <w:rFonts w:eastAsia="Arial"/>
                <w:szCs w:val="21"/>
              </w:rPr>
              <w:t>Liquid.</w:t>
            </w:r>
          </w:p>
        </w:tc>
      </w:tr>
      <w:tr>
        <w:tblPrEx>
          <w:tblCellMar>
            <w:top w:w="0" w:type="dxa"/>
            <w:left w:w="0" w:type="dxa"/>
            <w:bottom w:w="0" w:type="dxa"/>
            <w:right w:w="0" w:type="dxa"/>
          </w:tblCellMar>
        </w:tblPrEx>
        <w:trPr>
          <w:trHeight w:val="239" w:hRule="atLeast"/>
        </w:trPr>
        <w:tc>
          <w:tcPr>
            <w:tcW w:w="2798" w:type="dxa"/>
            <w:vAlign w:val="bottom"/>
          </w:tcPr>
          <w:p>
            <w:pPr>
              <w:spacing w:line="227" w:lineRule="exact"/>
              <w:rPr>
                <w:rFonts w:eastAsia="Arial"/>
                <w:b/>
                <w:szCs w:val="21"/>
              </w:rPr>
            </w:pPr>
            <w:r>
              <w:rPr>
                <w:b/>
                <w:szCs w:val="21"/>
              </w:rPr>
              <w:t xml:space="preserve"> </w:t>
            </w:r>
            <w:r>
              <w:rPr>
                <w:rFonts w:eastAsia="Arial"/>
                <w:b/>
                <w:szCs w:val="21"/>
              </w:rPr>
              <w:t>Color</w:t>
            </w:r>
          </w:p>
        </w:tc>
        <w:tc>
          <w:tcPr>
            <w:tcW w:w="6255" w:type="dxa"/>
            <w:gridSpan w:val="2"/>
            <w:vAlign w:val="bottom"/>
          </w:tcPr>
          <w:p>
            <w:pPr>
              <w:spacing w:line="229" w:lineRule="exact"/>
              <w:ind w:left="220"/>
              <w:rPr>
                <w:rFonts w:eastAsia="Arial"/>
                <w:szCs w:val="21"/>
              </w:rPr>
            </w:pPr>
            <w:r>
              <w:rPr>
                <w:rFonts w:eastAsia="Arial"/>
                <w:szCs w:val="21"/>
              </w:rPr>
              <w:t>Colorless to yellow</w:t>
            </w:r>
          </w:p>
        </w:tc>
      </w:tr>
      <w:tr>
        <w:tblPrEx>
          <w:tblCellMar>
            <w:top w:w="0" w:type="dxa"/>
            <w:left w:w="0" w:type="dxa"/>
            <w:bottom w:w="0" w:type="dxa"/>
            <w:right w:w="0" w:type="dxa"/>
          </w:tblCellMar>
        </w:tblPrEx>
        <w:trPr>
          <w:trHeight w:val="239" w:hRule="atLeast"/>
        </w:trPr>
        <w:tc>
          <w:tcPr>
            <w:tcW w:w="2798" w:type="dxa"/>
            <w:vAlign w:val="bottom"/>
          </w:tcPr>
          <w:p>
            <w:pPr>
              <w:spacing w:line="227" w:lineRule="exact"/>
              <w:ind w:left="120"/>
              <w:rPr>
                <w:rFonts w:eastAsia="Arial"/>
                <w:b/>
                <w:szCs w:val="21"/>
              </w:rPr>
            </w:pPr>
            <w:r>
              <w:rPr>
                <w:rFonts w:eastAsia="Arial"/>
                <w:b/>
                <w:szCs w:val="21"/>
              </w:rPr>
              <w:t>Odor</w:t>
            </w:r>
          </w:p>
        </w:tc>
        <w:tc>
          <w:tcPr>
            <w:tcW w:w="6255" w:type="dxa"/>
            <w:gridSpan w:val="2"/>
            <w:vAlign w:val="bottom"/>
          </w:tcPr>
          <w:p>
            <w:pPr>
              <w:spacing w:line="229" w:lineRule="exact"/>
              <w:ind w:left="220"/>
              <w:rPr>
                <w:rFonts w:eastAsia="Arial"/>
                <w:szCs w:val="21"/>
              </w:rPr>
            </w:pPr>
            <w:r>
              <w:rPr>
                <w:rFonts w:eastAsia="Arial"/>
                <w:szCs w:val="21"/>
              </w:rPr>
              <w:t>Slightly ammoniacal</w:t>
            </w:r>
          </w:p>
        </w:tc>
      </w:tr>
      <w:tr>
        <w:tblPrEx>
          <w:tblCellMar>
            <w:top w:w="0" w:type="dxa"/>
            <w:left w:w="0" w:type="dxa"/>
            <w:bottom w:w="0" w:type="dxa"/>
            <w:right w:w="0" w:type="dxa"/>
          </w:tblCellMar>
        </w:tblPrEx>
        <w:trPr>
          <w:trHeight w:val="237" w:hRule="atLeast"/>
        </w:trPr>
        <w:tc>
          <w:tcPr>
            <w:tcW w:w="2798" w:type="dxa"/>
            <w:vAlign w:val="bottom"/>
          </w:tcPr>
          <w:p>
            <w:pPr>
              <w:spacing w:line="225" w:lineRule="exact"/>
              <w:ind w:left="120"/>
              <w:rPr>
                <w:rFonts w:eastAsia="Arial"/>
                <w:b/>
                <w:szCs w:val="21"/>
              </w:rPr>
            </w:pPr>
            <w:r>
              <w:rPr>
                <w:rFonts w:eastAsia="Arial"/>
                <w:b/>
                <w:szCs w:val="21"/>
              </w:rPr>
              <w:t>Odor Threshold</w:t>
            </w:r>
          </w:p>
        </w:tc>
        <w:tc>
          <w:tcPr>
            <w:tcW w:w="6255" w:type="dxa"/>
            <w:gridSpan w:val="2"/>
            <w:vAlign w:val="bottom"/>
          </w:tcPr>
          <w:p>
            <w:pPr>
              <w:spacing w:line="227" w:lineRule="exact"/>
              <w:ind w:left="200"/>
              <w:rPr>
                <w:rFonts w:eastAsia="Arial"/>
                <w:szCs w:val="21"/>
              </w:rPr>
            </w:pPr>
            <w:r>
              <w:rPr>
                <w:rFonts w:eastAsia="Arial"/>
                <w:szCs w:val="21"/>
              </w:rPr>
              <w:t>No test data available</w:t>
            </w:r>
          </w:p>
        </w:tc>
      </w:tr>
      <w:tr>
        <w:tblPrEx>
          <w:tblCellMar>
            <w:top w:w="0" w:type="dxa"/>
            <w:left w:w="0" w:type="dxa"/>
            <w:bottom w:w="0" w:type="dxa"/>
            <w:right w:w="0" w:type="dxa"/>
          </w:tblCellMar>
        </w:tblPrEx>
        <w:trPr>
          <w:trHeight w:val="239" w:hRule="atLeast"/>
        </w:trPr>
        <w:tc>
          <w:tcPr>
            <w:tcW w:w="2798" w:type="dxa"/>
            <w:vAlign w:val="bottom"/>
          </w:tcPr>
          <w:p>
            <w:pPr>
              <w:spacing w:line="227" w:lineRule="exact"/>
              <w:ind w:left="120"/>
              <w:rPr>
                <w:rFonts w:eastAsia="Arial"/>
                <w:b/>
                <w:szCs w:val="21"/>
              </w:rPr>
            </w:pPr>
            <w:r>
              <w:rPr>
                <w:rFonts w:eastAsia="Arial"/>
                <w:b/>
                <w:szCs w:val="21"/>
              </w:rPr>
              <w:t>PH</w:t>
            </w:r>
          </w:p>
        </w:tc>
        <w:tc>
          <w:tcPr>
            <w:tcW w:w="6255" w:type="dxa"/>
            <w:gridSpan w:val="2"/>
            <w:vAlign w:val="bottom"/>
          </w:tcPr>
          <w:p>
            <w:pPr>
              <w:spacing w:line="229" w:lineRule="exact"/>
              <w:ind w:left="220"/>
              <w:rPr>
                <w:rFonts w:eastAsia="Arial"/>
                <w:szCs w:val="21"/>
              </w:rPr>
            </w:pPr>
            <w:r>
              <w:rPr>
                <w:rFonts w:eastAsia="Arial"/>
                <w:szCs w:val="21"/>
              </w:rPr>
              <w:t>No test data available</w:t>
            </w:r>
          </w:p>
        </w:tc>
      </w:tr>
      <w:tr>
        <w:trPr>
          <w:trHeight w:val="239" w:hRule="atLeast"/>
        </w:trPr>
        <w:tc>
          <w:tcPr>
            <w:tcW w:w="2798" w:type="dxa"/>
            <w:vAlign w:val="bottom"/>
          </w:tcPr>
          <w:p>
            <w:pPr>
              <w:spacing w:line="227" w:lineRule="exact"/>
              <w:ind w:left="120"/>
              <w:rPr>
                <w:rFonts w:eastAsia="Arial"/>
                <w:b/>
                <w:szCs w:val="21"/>
              </w:rPr>
            </w:pPr>
            <w:r>
              <w:rPr>
                <w:rFonts w:eastAsia="Arial"/>
                <w:b/>
                <w:szCs w:val="21"/>
              </w:rPr>
              <w:t>Melting Point</w:t>
            </w:r>
          </w:p>
        </w:tc>
        <w:tc>
          <w:tcPr>
            <w:tcW w:w="6255" w:type="dxa"/>
            <w:gridSpan w:val="2"/>
            <w:vAlign w:val="bottom"/>
          </w:tcPr>
          <w:p>
            <w:pPr>
              <w:spacing w:line="229" w:lineRule="exact"/>
              <w:ind w:left="220"/>
              <w:rPr>
                <w:rFonts w:eastAsia="Arial"/>
                <w:szCs w:val="21"/>
              </w:rPr>
            </w:pPr>
            <w:r>
              <w:rPr>
                <w:rFonts w:eastAsia="Arial"/>
                <w:szCs w:val="21"/>
              </w:rPr>
              <w:t>Not determined</w:t>
            </w:r>
          </w:p>
        </w:tc>
      </w:tr>
      <w:tr>
        <w:trPr>
          <w:trHeight w:val="237" w:hRule="atLeast"/>
        </w:trPr>
        <w:tc>
          <w:tcPr>
            <w:tcW w:w="2798" w:type="dxa"/>
            <w:vAlign w:val="bottom"/>
          </w:tcPr>
          <w:p>
            <w:pPr>
              <w:spacing w:line="227" w:lineRule="exact"/>
              <w:ind w:left="120"/>
              <w:rPr>
                <w:rFonts w:eastAsia="Arial"/>
                <w:b/>
                <w:szCs w:val="21"/>
              </w:rPr>
            </w:pPr>
            <w:r>
              <w:rPr>
                <w:rFonts w:eastAsia="Arial"/>
                <w:b/>
                <w:szCs w:val="21"/>
              </w:rPr>
              <w:t>Freezing Point</w:t>
            </w:r>
          </w:p>
        </w:tc>
        <w:tc>
          <w:tcPr>
            <w:tcW w:w="6255" w:type="dxa"/>
            <w:gridSpan w:val="2"/>
            <w:vAlign w:val="bottom"/>
          </w:tcPr>
          <w:p>
            <w:pPr>
              <w:spacing w:line="227" w:lineRule="exact"/>
              <w:ind w:left="220"/>
              <w:rPr>
                <w:rFonts w:eastAsia="Arial"/>
                <w:szCs w:val="21"/>
              </w:rPr>
            </w:pPr>
            <w:r>
              <w:rPr>
                <w:rFonts w:eastAsia="Arial"/>
                <w:szCs w:val="21"/>
              </w:rPr>
              <w:t>5 °C Literature (Supercools; freezing point may therefore vary)</w:t>
            </w:r>
          </w:p>
        </w:tc>
      </w:tr>
      <w:tr>
        <w:trPr>
          <w:trHeight w:val="239" w:hRule="atLeast"/>
        </w:trPr>
        <w:tc>
          <w:tcPr>
            <w:tcW w:w="2798" w:type="dxa"/>
            <w:vAlign w:val="bottom"/>
          </w:tcPr>
          <w:p>
            <w:pPr>
              <w:spacing w:line="229" w:lineRule="exact"/>
              <w:ind w:left="120"/>
              <w:rPr>
                <w:rFonts w:eastAsia="Arial"/>
                <w:b/>
                <w:szCs w:val="21"/>
              </w:rPr>
            </w:pPr>
            <w:r>
              <w:rPr>
                <w:rFonts w:eastAsia="Arial"/>
                <w:b/>
                <w:szCs w:val="21"/>
              </w:rPr>
              <w:t>Boiling Point (760 mmHg)</w:t>
            </w:r>
          </w:p>
        </w:tc>
        <w:tc>
          <w:tcPr>
            <w:tcW w:w="6255" w:type="dxa"/>
            <w:gridSpan w:val="2"/>
            <w:vAlign w:val="bottom"/>
          </w:tcPr>
          <w:p>
            <w:pPr>
              <w:spacing w:line="229" w:lineRule="exact"/>
              <w:ind w:left="220"/>
              <w:rPr>
                <w:rFonts w:eastAsia="Arial"/>
                <w:szCs w:val="21"/>
              </w:rPr>
            </w:pPr>
            <w:r>
              <w:rPr>
                <w:rFonts w:eastAsia="Arial"/>
                <w:szCs w:val="21"/>
              </w:rPr>
              <w:t>104 °C Literature.</w:t>
            </w:r>
          </w:p>
        </w:tc>
      </w:tr>
      <w:tr>
        <w:trPr>
          <w:trHeight w:val="242" w:hRule="atLeast"/>
        </w:trPr>
        <w:tc>
          <w:tcPr>
            <w:tcW w:w="2798" w:type="dxa"/>
            <w:vAlign w:val="bottom"/>
          </w:tcPr>
          <w:p>
            <w:pPr>
              <w:spacing w:line="229" w:lineRule="exact"/>
              <w:ind w:left="120"/>
              <w:rPr>
                <w:rFonts w:eastAsia="Arial"/>
                <w:b/>
                <w:szCs w:val="21"/>
              </w:rPr>
            </w:pPr>
            <w:r>
              <w:rPr>
                <w:rFonts w:eastAsia="Arial"/>
                <w:b/>
                <w:szCs w:val="21"/>
              </w:rPr>
              <w:t>Flash Point - Closed Cup</w:t>
            </w:r>
          </w:p>
        </w:tc>
        <w:tc>
          <w:tcPr>
            <w:tcW w:w="6255" w:type="dxa"/>
            <w:gridSpan w:val="2"/>
            <w:vAlign w:val="bottom"/>
          </w:tcPr>
          <w:p>
            <w:pPr>
              <w:spacing w:line="229" w:lineRule="exact"/>
              <w:ind w:left="220"/>
              <w:rPr>
                <w:rFonts w:eastAsia="Arial"/>
                <w:szCs w:val="21"/>
              </w:rPr>
            </w:pPr>
            <w:r>
              <w:rPr>
                <w:rFonts w:eastAsia="Arial"/>
                <w:szCs w:val="21"/>
              </w:rPr>
              <w:t>none below boiling point</w:t>
            </w:r>
          </w:p>
        </w:tc>
      </w:tr>
      <w:tr>
        <w:trPr>
          <w:trHeight w:val="235" w:hRule="atLeast"/>
        </w:trPr>
        <w:tc>
          <w:tcPr>
            <w:tcW w:w="2798" w:type="dxa"/>
            <w:vAlign w:val="bottom"/>
          </w:tcPr>
          <w:p>
            <w:pPr>
              <w:spacing w:line="225" w:lineRule="exact"/>
              <w:ind w:left="120"/>
              <w:rPr>
                <w:rFonts w:eastAsia="Arial"/>
                <w:b/>
                <w:szCs w:val="21"/>
              </w:rPr>
            </w:pPr>
            <w:r>
              <w:rPr>
                <w:rFonts w:eastAsia="Arial"/>
                <w:b/>
                <w:szCs w:val="21"/>
              </w:rPr>
              <w:t>Flash Point - Open Cup</w:t>
            </w:r>
          </w:p>
        </w:tc>
        <w:tc>
          <w:tcPr>
            <w:tcW w:w="6255" w:type="dxa"/>
            <w:gridSpan w:val="2"/>
            <w:vAlign w:val="bottom"/>
          </w:tcPr>
          <w:p>
            <w:pPr>
              <w:spacing w:line="225" w:lineRule="exact"/>
              <w:ind w:left="220"/>
              <w:rPr>
                <w:rFonts w:eastAsia="Arial"/>
                <w:szCs w:val="21"/>
              </w:rPr>
            </w:pPr>
            <w:r>
              <w:rPr>
                <w:rFonts w:eastAsia="Arial"/>
                <w:szCs w:val="21"/>
              </w:rPr>
              <w:t>160 °C Cleveland Open Cup</w:t>
            </w:r>
          </w:p>
        </w:tc>
      </w:tr>
      <w:tr>
        <w:trPr>
          <w:trHeight w:val="242" w:hRule="atLeast"/>
        </w:trPr>
        <w:tc>
          <w:tcPr>
            <w:tcW w:w="2798" w:type="dxa"/>
            <w:vAlign w:val="bottom"/>
          </w:tcPr>
          <w:p>
            <w:pPr>
              <w:spacing w:line="229" w:lineRule="exact"/>
              <w:ind w:left="120"/>
              <w:rPr>
                <w:rFonts w:eastAsia="Arial"/>
                <w:b/>
                <w:szCs w:val="21"/>
              </w:rPr>
            </w:pPr>
            <w:r>
              <w:rPr>
                <w:rFonts w:eastAsia="Arial"/>
                <w:b/>
                <w:szCs w:val="21"/>
              </w:rPr>
              <w:t>Evaporation Rate (Butyl</w:t>
            </w:r>
          </w:p>
        </w:tc>
        <w:tc>
          <w:tcPr>
            <w:tcW w:w="6255" w:type="dxa"/>
            <w:gridSpan w:val="2"/>
            <w:vAlign w:val="bottom"/>
          </w:tcPr>
          <w:p>
            <w:pPr>
              <w:spacing w:line="229" w:lineRule="exact"/>
              <w:ind w:left="200" w:firstLine="105" w:firstLineChars="50"/>
              <w:rPr>
                <w:rFonts w:eastAsia="Arial"/>
                <w:szCs w:val="21"/>
              </w:rPr>
            </w:pPr>
            <w:r>
              <w:rPr>
                <w:rFonts w:eastAsia="Arial"/>
                <w:szCs w:val="21"/>
              </w:rPr>
              <w:t>No test data available</w:t>
            </w:r>
          </w:p>
        </w:tc>
      </w:tr>
      <w:tr>
        <w:tblPrEx>
          <w:tblCellMar>
            <w:top w:w="0" w:type="dxa"/>
            <w:left w:w="0" w:type="dxa"/>
            <w:bottom w:w="0" w:type="dxa"/>
            <w:right w:w="0" w:type="dxa"/>
          </w:tblCellMar>
        </w:tblPrEx>
        <w:trPr>
          <w:trHeight w:val="238" w:hRule="atLeast"/>
        </w:trPr>
        <w:tc>
          <w:tcPr>
            <w:tcW w:w="2798" w:type="dxa"/>
            <w:vAlign w:val="bottom"/>
          </w:tcPr>
          <w:p>
            <w:pPr>
              <w:spacing w:line="228" w:lineRule="exact"/>
              <w:ind w:left="120"/>
              <w:rPr>
                <w:rFonts w:eastAsia="Arial"/>
                <w:b/>
                <w:szCs w:val="21"/>
              </w:rPr>
            </w:pPr>
            <w:r>
              <w:rPr>
                <w:rFonts w:eastAsia="Arial"/>
                <w:b/>
                <w:szCs w:val="21"/>
              </w:rPr>
              <w:t>Acetate = 1)</w:t>
            </w:r>
          </w:p>
        </w:tc>
        <w:tc>
          <w:tcPr>
            <w:tcW w:w="6255" w:type="dxa"/>
            <w:gridSpan w:val="2"/>
            <w:vAlign w:val="bottom"/>
          </w:tcPr>
          <w:p>
            <w:pPr>
              <w:spacing w:line="0" w:lineRule="atLeast"/>
              <w:rPr>
                <w:rFonts w:eastAsia="Times New Roman"/>
                <w:szCs w:val="21"/>
              </w:rPr>
            </w:pPr>
          </w:p>
        </w:tc>
      </w:tr>
      <w:tr>
        <w:tblPrEx>
          <w:tblCellMar>
            <w:top w:w="0" w:type="dxa"/>
            <w:left w:w="0" w:type="dxa"/>
            <w:bottom w:w="0" w:type="dxa"/>
            <w:right w:w="0" w:type="dxa"/>
          </w:tblCellMar>
        </w:tblPrEx>
        <w:trPr>
          <w:trHeight w:val="242" w:hRule="atLeast"/>
        </w:trPr>
        <w:tc>
          <w:tcPr>
            <w:tcW w:w="2798" w:type="dxa"/>
            <w:vAlign w:val="bottom"/>
          </w:tcPr>
          <w:p>
            <w:pPr>
              <w:spacing w:line="229" w:lineRule="exact"/>
              <w:ind w:left="120"/>
              <w:rPr>
                <w:rFonts w:eastAsia="Arial"/>
                <w:b/>
                <w:szCs w:val="21"/>
              </w:rPr>
            </w:pPr>
            <w:r>
              <w:rPr>
                <w:rFonts w:eastAsia="Arial"/>
                <w:b/>
                <w:szCs w:val="21"/>
              </w:rPr>
              <w:t>Flammability (solid, gas)</w:t>
            </w:r>
          </w:p>
        </w:tc>
        <w:tc>
          <w:tcPr>
            <w:tcW w:w="6255" w:type="dxa"/>
            <w:gridSpan w:val="2"/>
            <w:vAlign w:val="bottom"/>
          </w:tcPr>
          <w:p>
            <w:pPr>
              <w:spacing w:line="229" w:lineRule="exact"/>
              <w:ind w:left="200"/>
              <w:rPr>
                <w:rFonts w:eastAsia="Arial"/>
                <w:szCs w:val="21"/>
              </w:rPr>
            </w:pPr>
            <w:r>
              <w:rPr>
                <w:rFonts w:eastAsia="Arial"/>
                <w:szCs w:val="21"/>
              </w:rPr>
              <w:t>Not applicable to liquids</w:t>
            </w:r>
          </w:p>
        </w:tc>
      </w:tr>
      <w:tr>
        <w:tblPrEx>
          <w:tblCellMar>
            <w:top w:w="0" w:type="dxa"/>
            <w:left w:w="0" w:type="dxa"/>
            <w:bottom w:w="0" w:type="dxa"/>
            <w:right w:w="0" w:type="dxa"/>
          </w:tblCellMar>
        </w:tblPrEx>
        <w:trPr>
          <w:trHeight w:val="237" w:hRule="atLeast"/>
        </w:trPr>
        <w:tc>
          <w:tcPr>
            <w:tcW w:w="2798" w:type="dxa"/>
            <w:vAlign w:val="bottom"/>
          </w:tcPr>
          <w:p>
            <w:pPr>
              <w:spacing w:line="227" w:lineRule="exact"/>
              <w:ind w:left="120"/>
              <w:rPr>
                <w:rFonts w:eastAsia="Arial"/>
                <w:b/>
                <w:szCs w:val="21"/>
              </w:rPr>
            </w:pPr>
            <w:r>
              <w:rPr>
                <w:rFonts w:eastAsia="Arial"/>
                <w:b/>
                <w:szCs w:val="21"/>
              </w:rPr>
              <w:t>Flammable Limits In Air</w:t>
            </w:r>
          </w:p>
        </w:tc>
        <w:tc>
          <w:tcPr>
            <w:tcW w:w="6255" w:type="dxa"/>
            <w:gridSpan w:val="2"/>
            <w:vAlign w:val="bottom"/>
          </w:tcPr>
          <w:p>
            <w:pPr>
              <w:spacing w:line="227" w:lineRule="exact"/>
              <w:ind w:left="200"/>
              <w:rPr>
                <w:rFonts w:eastAsia="Arial"/>
                <w:szCs w:val="21"/>
              </w:rPr>
            </w:pPr>
            <w:r>
              <w:rPr>
                <w:rFonts w:eastAsia="Arial"/>
                <w:b/>
                <w:szCs w:val="21"/>
              </w:rPr>
              <w:t>Lower</w:t>
            </w:r>
            <w:r>
              <w:rPr>
                <w:rFonts w:eastAsia="Arial"/>
                <w:szCs w:val="21"/>
              </w:rPr>
              <w:t>: Not determined</w:t>
            </w:r>
          </w:p>
        </w:tc>
      </w:tr>
      <w:tr>
        <w:tblPrEx>
          <w:tblCellMar>
            <w:top w:w="0" w:type="dxa"/>
            <w:left w:w="0" w:type="dxa"/>
            <w:bottom w:w="0" w:type="dxa"/>
            <w:right w:w="0" w:type="dxa"/>
          </w:tblCellMar>
        </w:tblPrEx>
        <w:trPr>
          <w:trHeight w:val="237" w:hRule="atLeast"/>
        </w:trPr>
        <w:tc>
          <w:tcPr>
            <w:tcW w:w="2798" w:type="dxa"/>
            <w:vAlign w:val="bottom"/>
          </w:tcPr>
          <w:p>
            <w:pPr>
              <w:spacing w:line="0" w:lineRule="atLeast"/>
              <w:rPr>
                <w:rFonts w:eastAsia="Times New Roman"/>
                <w:szCs w:val="21"/>
              </w:rPr>
            </w:pPr>
          </w:p>
        </w:tc>
        <w:tc>
          <w:tcPr>
            <w:tcW w:w="6255" w:type="dxa"/>
            <w:gridSpan w:val="2"/>
            <w:vAlign w:val="bottom"/>
          </w:tcPr>
          <w:p>
            <w:pPr>
              <w:spacing w:line="227" w:lineRule="exact"/>
              <w:ind w:left="200"/>
              <w:rPr>
                <w:rFonts w:eastAsia="Arial"/>
                <w:szCs w:val="21"/>
              </w:rPr>
            </w:pPr>
            <w:r>
              <w:rPr>
                <w:rFonts w:eastAsia="Arial"/>
                <w:b/>
                <w:szCs w:val="21"/>
              </w:rPr>
              <w:t>Upper</w:t>
            </w:r>
            <w:r>
              <w:rPr>
                <w:rFonts w:eastAsia="Arial"/>
                <w:szCs w:val="21"/>
              </w:rPr>
              <w:t>: Not determined</w:t>
            </w:r>
          </w:p>
        </w:tc>
      </w:tr>
      <w:tr>
        <w:tblPrEx>
          <w:tblCellMar>
            <w:top w:w="0" w:type="dxa"/>
            <w:left w:w="0" w:type="dxa"/>
            <w:bottom w:w="0" w:type="dxa"/>
            <w:right w:w="0" w:type="dxa"/>
          </w:tblCellMar>
        </w:tblPrEx>
        <w:trPr>
          <w:trHeight w:val="239" w:hRule="atLeast"/>
        </w:trPr>
        <w:tc>
          <w:tcPr>
            <w:tcW w:w="2798" w:type="dxa"/>
            <w:vAlign w:val="bottom"/>
          </w:tcPr>
          <w:p>
            <w:pPr>
              <w:spacing w:line="229" w:lineRule="exact"/>
              <w:ind w:left="120"/>
              <w:rPr>
                <w:rFonts w:eastAsia="Arial"/>
                <w:b/>
                <w:szCs w:val="21"/>
              </w:rPr>
            </w:pPr>
            <w:r>
              <w:rPr>
                <w:rFonts w:eastAsia="Arial"/>
                <w:b/>
                <w:szCs w:val="21"/>
              </w:rPr>
              <w:t>Vapor Pressure</w:t>
            </w:r>
          </w:p>
        </w:tc>
        <w:tc>
          <w:tcPr>
            <w:tcW w:w="6255" w:type="dxa"/>
            <w:gridSpan w:val="2"/>
            <w:vAlign w:val="bottom"/>
          </w:tcPr>
          <w:p>
            <w:pPr>
              <w:spacing w:line="229" w:lineRule="exact"/>
              <w:ind w:left="200"/>
              <w:rPr>
                <w:rFonts w:eastAsia="Arial"/>
                <w:szCs w:val="21"/>
              </w:rPr>
            </w:pPr>
            <w:r>
              <w:rPr>
                <w:rFonts w:eastAsia="Arial"/>
                <w:szCs w:val="21"/>
              </w:rPr>
              <w:t>&lt; 0.01 mmHg Literature</w:t>
            </w:r>
          </w:p>
        </w:tc>
      </w:tr>
      <w:tr>
        <w:tblPrEx>
          <w:tblCellMar>
            <w:top w:w="0" w:type="dxa"/>
            <w:left w:w="0" w:type="dxa"/>
            <w:bottom w:w="0" w:type="dxa"/>
            <w:right w:w="0" w:type="dxa"/>
          </w:tblCellMar>
        </w:tblPrEx>
        <w:trPr>
          <w:trHeight w:val="242" w:hRule="atLeast"/>
        </w:trPr>
        <w:tc>
          <w:tcPr>
            <w:tcW w:w="2798" w:type="dxa"/>
            <w:vAlign w:val="bottom"/>
          </w:tcPr>
          <w:p>
            <w:pPr>
              <w:spacing w:line="229" w:lineRule="exact"/>
              <w:ind w:left="120"/>
              <w:rPr>
                <w:rFonts w:eastAsia="Arial"/>
                <w:b/>
                <w:szCs w:val="21"/>
              </w:rPr>
            </w:pPr>
            <w:r>
              <w:rPr>
                <w:rFonts w:eastAsia="Arial"/>
                <w:b/>
                <w:szCs w:val="21"/>
              </w:rPr>
              <w:t>Vapor Density (air = 1)</w:t>
            </w:r>
          </w:p>
        </w:tc>
        <w:tc>
          <w:tcPr>
            <w:tcW w:w="6255" w:type="dxa"/>
            <w:gridSpan w:val="2"/>
            <w:vAlign w:val="bottom"/>
          </w:tcPr>
          <w:p>
            <w:pPr>
              <w:spacing w:line="229" w:lineRule="exact"/>
              <w:ind w:left="200"/>
              <w:rPr>
                <w:rFonts w:eastAsia="Arial"/>
                <w:szCs w:val="21"/>
              </w:rPr>
            </w:pPr>
            <w:r>
              <w:rPr>
                <w:rFonts w:eastAsia="Arial"/>
                <w:szCs w:val="21"/>
              </w:rPr>
              <w:t>Not determined</w:t>
            </w:r>
          </w:p>
        </w:tc>
      </w:tr>
      <w:tr>
        <w:tblPrEx>
          <w:tblCellMar>
            <w:top w:w="0" w:type="dxa"/>
            <w:left w:w="0" w:type="dxa"/>
            <w:bottom w:w="0" w:type="dxa"/>
            <w:right w:w="0" w:type="dxa"/>
          </w:tblCellMar>
        </w:tblPrEx>
        <w:trPr>
          <w:trHeight w:val="237" w:hRule="atLeast"/>
        </w:trPr>
        <w:tc>
          <w:tcPr>
            <w:tcW w:w="2798" w:type="dxa"/>
            <w:vAlign w:val="bottom"/>
          </w:tcPr>
          <w:p>
            <w:pPr>
              <w:spacing w:line="227" w:lineRule="exact"/>
              <w:ind w:left="120"/>
              <w:rPr>
                <w:rFonts w:eastAsia="Arial"/>
                <w:b/>
                <w:szCs w:val="21"/>
              </w:rPr>
            </w:pPr>
            <w:r>
              <w:rPr>
                <w:rFonts w:eastAsia="Arial"/>
                <w:b/>
                <w:szCs w:val="21"/>
              </w:rPr>
              <w:t>Specific Gravity (H2O = 1)</w:t>
            </w:r>
          </w:p>
        </w:tc>
        <w:tc>
          <w:tcPr>
            <w:tcW w:w="6255" w:type="dxa"/>
            <w:gridSpan w:val="2"/>
            <w:vAlign w:val="bottom"/>
          </w:tcPr>
          <w:p>
            <w:pPr>
              <w:spacing w:line="227" w:lineRule="exact"/>
              <w:ind w:left="200"/>
              <w:rPr>
                <w:rFonts w:eastAsia="Arial"/>
                <w:szCs w:val="21"/>
              </w:rPr>
            </w:pPr>
            <w:r>
              <w:rPr>
                <w:rFonts w:eastAsia="Arial"/>
                <w:szCs w:val="21"/>
              </w:rPr>
              <w:t>1.027  25 °C/4 °C Literature</w:t>
            </w:r>
          </w:p>
        </w:tc>
      </w:tr>
      <w:tr>
        <w:tblPrEx>
          <w:tblCellMar>
            <w:top w:w="0" w:type="dxa"/>
            <w:left w:w="0" w:type="dxa"/>
            <w:bottom w:w="0" w:type="dxa"/>
            <w:right w:w="0" w:type="dxa"/>
          </w:tblCellMar>
        </w:tblPrEx>
        <w:trPr>
          <w:trHeight w:val="239" w:hRule="atLeast"/>
        </w:trPr>
        <w:tc>
          <w:tcPr>
            <w:tcW w:w="2798" w:type="dxa"/>
            <w:vAlign w:val="bottom"/>
          </w:tcPr>
          <w:p>
            <w:pPr>
              <w:spacing w:line="229" w:lineRule="exact"/>
              <w:ind w:left="120"/>
              <w:rPr>
                <w:rFonts w:eastAsia="Arial"/>
                <w:b/>
                <w:szCs w:val="21"/>
              </w:rPr>
            </w:pPr>
            <w:r>
              <w:rPr>
                <w:rFonts w:eastAsia="Arial"/>
                <w:b/>
                <w:szCs w:val="21"/>
              </w:rPr>
              <w:t>Solubility in water (by</w:t>
            </w:r>
          </w:p>
        </w:tc>
        <w:tc>
          <w:tcPr>
            <w:tcW w:w="6255" w:type="dxa"/>
            <w:gridSpan w:val="2"/>
            <w:vAlign w:val="bottom"/>
          </w:tcPr>
          <w:p>
            <w:pPr>
              <w:spacing w:line="229" w:lineRule="exact"/>
              <w:ind w:left="200"/>
              <w:rPr>
                <w:rFonts w:eastAsia="Arial"/>
                <w:szCs w:val="21"/>
              </w:rPr>
            </w:pPr>
            <w:r>
              <w:rPr>
                <w:rFonts w:eastAsia="Arial"/>
                <w:szCs w:val="21"/>
              </w:rPr>
              <w:t>100 % Literature  Completely miscible in all proportions</w:t>
            </w:r>
          </w:p>
        </w:tc>
      </w:tr>
      <w:tr>
        <w:trPr>
          <w:trHeight w:val="239" w:hRule="atLeast"/>
        </w:trPr>
        <w:tc>
          <w:tcPr>
            <w:tcW w:w="2798" w:type="dxa"/>
            <w:vAlign w:val="bottom"/>
          </w:tcPr>
          <w:p>
            <w:pPr>
              <w:spacing w:line="229" w:lineRule="exact"/>
              <w:ind w:left="120"/>
              <w:rPr>
                <w:rFonts w:eastAsia="Arial"/>
                <w:b/>
                <w:szCs w:val="21"/>
              </w:rPr>
            </w:pPr>
            <w:r>
              <w:rPr>
                <w:rFonts w:eastAsia="Arial"/>
                <w:b/>
                <w:szCs w:val="21"/>
              </w:rPr>
              <w:t>weight)</w:t>
            </w:r>
          </w:p>
        </w:tc>
        <w:tc>
          <w:tcPr>
            <w:tcW w:w="6255" w:type="dxa"/>
            <w:gridSpan w:val="2"/>
            <w:vAlign w:val="bottom"/>
          </w:tcPr>
          <w:p>
            <w:pPr>
              <w:spacing w:line="0" w:lineRule="atLeast"/>
              <w:rPr>
                <w:rFonts w:eastAsia="Times New Roman"/>
                <w:szCs w:val="21"/>
              </w:rPr>
            </w:pPr>
          </w:p>
        </w:tc>
      </w:tr>
      <w:tr>
        <w:trPr>
          <w:gridAfter w:val="1"/>
          <w:wAfter w:w="3825" w:type="dxa"/>
          <w:trHeight w:val="239" w:hRule="atLeast"/>
        </w:trPr>
        <w:tc>
          <w:tcPr>
            <w:tcW w:w="2798" w:type="dxa"/>
            <w:vAlign w:val="bottom"/>
          </w:tcPr>
          <w:p>
            <w:pPr>
              <w:spacing w:line="229" w:lineRule="exact"/>
              <w:ind w:left="140"/>
              <w:rPr>
                <w:rFonts w:eastAsia="Arial"/>
                <w:b/>
                <w:szCs w:val="21"/>
              </w:rPr>
            </w:pPr>
            <w:r>
              <w:rPr>
                <w:rFonts w:eastAsia="Arial"/>
                <w:b/>
                <w:szCs w:val="21"/>
              </w:rPr>
              <w:t>Partition coefficient, n-</w:t>
            </w:r>
          </w:p>
        </w:tc>
        <w:tc>
          <w:tcPr>
            <w:tcW w:w="2430" w:type="dxa"/>
            <w:vAlign w:val="bottom"/>
          </w:tcPr>
          <w:p>
            <w:pPr>
              <w:spacing w:line="229" w:lineRule="exact"/>
              <w:ind w:left="220"/>
              <w:rPr>
                <w:rFonts w:eastAsia="Times New Roman"/>
                <w:szCs w:val="21"/>
              </w:rPr>
            </w:pPr>
            <w:r>
              <w:rPr>
                <w:rFonts w:eastAsia="Arial"/>
                <w:szCs w:val="21"/>
              </w:rPr>
              <w:t>-0.015 Measured</w:t>
            </w:r>
          </w:p>
        </w:tc>
      </w:tr>
      <w:tr>
        <w:trPr>
          <w:gridAfter w:val="1"/>
          <w:wAfter w:w="3825" w:type="dxa"/>
          <w:trHeight w:val="239" w:hRule="atLeast"/>
        </w:trPr>
        <w:tc>
          <w:tcPr>
            <w:tcW w:w="2798" w:type="dxa"/>
            <w:vAlign w:val="bottom"/>
          </w:tcPr>
          <w:p>
            <w:pPr>
              <w:spacing w:line="229" w:lineRule="exact"/>
              <w:ind w:left="140"/>
              <w:rPr>
                <w:rFonts w:eastAsia="Arial"/>
                <w:b/>
                <w:szCs w:val="21"/>
              </w:rPr>
            </w:pPr>
            <w:r>
              <w:rPr>
                <w:rFonts w:eastAsia="Arial"/>
                <w:b/>
                <w:szCs w:val="21"/>
              </w:rPr>
              <w:t>octanol/water (log Pow)</w:t>
            </w:r>
          </w:p>
        </w:tc>
        <w:tc>
          <w:tcPr>
            <w:tcW w:w="2430" w:type="dxa"/>
            <w:vAlign w:val="bottom"/>
          </w:tcPr>
          <w:p>
            <w:pPr>
              <w:spacing w:line="0" w:lineRule="atLeast"/>
              <w:rPr>
                <w:rFonts w:eastAsia="Times New Roman"/>
                <w:szCs w:val="21"/>
              </w:rPr>
            </w:pPr>
          </w:p>
        </w:tc>
      </w:tr>
      <w:tr>
        <w:trPr>
          <w:gridAfter w:val="1"/>
          <w:wAfter w:w="3825" w:type="dxa"/>
          <w:trHeight w:val="244" w:hRule="atLeast"/>
        </w:trPr>
        <w:tc>
          <w:tcPr>
            <w:tcW w:w="2798" w:type="dxa"/>
            <w:vAlign w:val="bottom"/>
          </w:tcPr>
          <w:p>
            <w:pPr>
              <w:spacing w:line="229" w:lineRule="exact"/>
              <w:ind w:left="140"/>
              <w:rPr>
                <w:rFonts w:eastAsia="Arial"/>
                <w:b/>
                <w:szCs w:val="21"/>
              </w:rPr>
            </w:pPr>
            <w:r>
              <w:rPr>
                <w:rFonts w:eastAsia="Arial"/>
                <w:b/>
                <w:szCs w:val="21"/>
              </w:rPr>
              <w:t>Autoignition Temperature</w:t>
            </w:r>
          </w:p>
        </w:tc>
        <w:tc>
          <w:tcPr>
            <w:tcW w:w="2430" w:type="dxa"/>
            <w:vAlign w:val="bottom"/>
          </w:tcPr>
          <w:p>
            <w:pPr>
              <w:spacing w:line="229" w:lineRule="exact"/>
              <w:ind w:left="220"/>
              <w:rPr>
                <w:rFonts w:eastAsia="Times New Roman"/>
                <w:szCs w:val="21"/>
              </w:rPr>
            </w:pPr>
            <w:r>
              <w:rPr>
                <w:rFonts w:eastAsia="Arial"/>
                <w:szCs w:val="21"/>
              </w:rPr>
              <w:t>Not determined</w:t>
            </w:r>
          </w:p>
        </w:tc>
      </w:tr>
      <w:tr>
        <w:trPr>
          <w:gridAfter w:val="1"/>
          <w:wAfter w:w="3825" w:type="dxa"/>
          <w:trHeight w:val="239" w:hRule="atLeast"/>
        </w:trPr>
        <w:tc>
          <w:tcPr>
            <w:tcW w:w="2798" w:type="dxa"/>
            <w:vAlign w:val="bottom"/>
          </w:tcPr>
          <w:p>
            <w:pPr>
              <w:spacing w:line="225" w:lineRule="exact"/>
              <w:ind w:left="140"/>
              <w:rPr>
                <w:rFonts w:eastAsia="Arial"/>
                <w:b/>
                <w:szCs w:val="21"/>
              </w:rPr>
            </w:pPr>
            <w:r>
              <w:rPr>
                <w:rFonts w:eastAsia="Arial"/>
                <w:b/>
                <w:szCs w:val="21"/>
              </w:rPr>
              <w:t>Decomposition</w:t>
            </w:r>
          </w:p>
        </w:tc>
        <w:tc>
          <w:tcPr>
            <w:tcW w:w="2430" w:type="dxa"/>
            <w:vAlign w:val="bottom"/>
          </w:tcPr>
          <w:p>
            <w:pPr>
              <w:spacing w:line="227" w:lineRule="exact"/>
              <w:ind w:left="220"/>
              <w:rPr>
                <w:rFonts w:eastAsia="Times New Roman"/>
                <w:szCs w:val="21"/>
              </w:rPr>
            </w:pPr>
            <w:r>
              <w:rPr>
                <w:rFonts w:eastAsia="Arial"/>
                <w:szCs w:val="21"/>
              </w:rPr>
              <w:t>No test data available</w:t>
            </w:r>
          </w:p>
        </w:tc>
      </w:tr>
      <w:tr>
        <w:trPr>
          <w:gridAfter w:val="1"/>
          <w:wAfter w:w="3825" w:type="dxa"/>
          <w:trHeight w:val="239" w:hRule="atLeast"/>
        </w:trPr>
        <w:tc>
          <w:tcPr>
            <w:tcW w:w="2798" w:type="dxa"/>
            <w:vAlign w:val="bottom"/>
          </w:tcPr>
          <w:p>
            <w:pPr>
              <w:spacing w:line="227" w:lineRule="exact"/>
              <w:ind w:left="140"/>
              <w:rPr>
                <w:rFonts w:eastAsia="Arial"/>
                <w:b/>
                <w:szCs w:val="21"/>
              </w:rPr>
            </w:pPr>
            <w:r>
              <w:rPr>
                <w:rFonts w:eastAsia="Arial"/>
                <w:b/>
                <w:szCs w:val="21"/>
              </w:rPr>
              <w:t>Temperature</w:t>
            </w:r>
          </w:p>
        </w:tc>
        <w:tc>
          <w:tcPr>
            <w:tcW w:w="2430" w:type="dxa"/>
            <w:vAlign w:val="bottom"/>
          </w:tcPr>
          <w:p>
            <w:pPr>
              <w:spacing w:line="0" w:lineRule="atLeast"/>
              <w:rPr>
                <w:rFonts w:eastAsia="Times New Roman"/>
                <w:szCs w:val="21"/>
              </w:rPr>
            </w:pPr>
          </w:p>
        </w:tc>
      </w:tr>
      <w:tr>
        <w:trPr>
          <w:trHeight w:val="239" w:hRule="atLeast"/>
        </w:trPr>
        <w:tc>
          <w:tcPr>
            <w:tcW w:w="2798" w:type="dxa"/>
            <w:vAlign w:val="bottom"/>
          </w:tcPr>
          <w:p>
            <w:pPr>
              <w:spacing w:line="229" w:lineRule="exact"/>
              <w:ind w:left="140"/>
              <w:rPr>
                <w:rFonts w:eastAsia="Arial"/>
                <w:b/>
                <w:szCs w:val="21"/>
              </w:rPr>
            </w:pPr>
            <w:r>
              <w:rPr>
                <w:rFonts w:eastAsia="Arial"/>
                <w:b/>
                <w:szCs w:val="21"/>
              </w:rPr>
              <w:t>Dynamic Viscosity</w:t>
            </w:r>
          </w:p>
        </w:tc>
        <w:tc>
          <w:tcPr>
            <w:tcW w:w="6255" w:type="dxa"/>
            <w:gridSpan w:val="2"/>
            <w:vAlign w:val="bottom"/>
          </w:tcPr>
          <w:p>
            <w:pPr>
              <w:spacing w:line="229" w:lineRule="exact"/>
              <w:ind w:left="220"/>
              <w:rPr>
                <w:szCs w:val="21"/>
              </w:rPr>
            </w:pPr>
            <w:r>
              <w:rPr>
                <w:rFonts w:eastAsia="Arial"/>
                <w:szCs w:val="21"/>
              </w:rPr>
              <w:t>240 cps @ 25 °C Literature</w:t>
            </w:r>
          </w:p>
        </w:tc>
      </w:tr>
      <w:tr>
        <w:trPr>
          <w:gridAfter w:val="1"/>
          <w:wAfter w:w="3825" w:type="dxa"/>
          <w:trHeight w:val="239" w:hRule="atLeast"/>
        </w:trPr>
        <w:tc>
          <w:tcPr>
            <w:tcW w:w="2798" w:type="dxa"/>
            <w:vAlign w:val="bottom"/>
          </w:tcPr>
          <w:p>
            <w:pPr>
              <w:spacing w:line="229" w:lineRule="exact"/>
              <w:ind w:left="140"/>
              <w:rPr>
                <w:rFonts w:eastAsia="Arial"/>
                <w:b/>
                <w:szCs w:val="21"/>
              </w:rPr>
            </w:pPr>
            <w:r>
              <w:rPr>
                <w:rFonts w:eastAsia="Arial"/>
                <w:b/>
                <w:szCs w:val="21"/>
              </w:rPr>
              <w:t>Kinematic Viscosity</w:t>
            </w:r>
          </w:p>
        </w:tc>
        <w:tc>
          <w:tcPr>
            <w:tcW w:w="2430" w:type="dxa"/>
            <w:vAlign w:val="bottom"/>
          </w:tcPr>
          <w:p>
            <w:pPr>
              <w:spacing w:line="229" w:lineRule="exact"/>
              <w:ind w:left="220"/>
              <w:rPr>
                <w:szCs w:val="21"/>
              </w:rPr>
            </w:pPr>
            <w:r>
              <w:rPr>
                <w:rFonts w:eastAsia="Arial"/>
                <w:szCs w:val="21"/>
              </w:rPr>
              <w:t>No test data available</w:t>
            </w:r>
          </w:p>
        </w:tc>
      </w:tr>
      <w:tr>
        <w:trPr>
          <w:gridAfter w:val="1"/>
          <w:wAfter w:w="3825" w:type="dxa"/>
          <w:trHeight w:val="239" w:hRule="atLeast"/>
        </w:trPr>
        <w:tc>
          <w:tcPr>
            <w:tcW w:w="2798" w:type="dxa"/>
            <w:vAlign w:val="bottom"/>
          </w:tcPr>
          <w:p>
            <w:pPr>
              <w:spacing w:line="229" w:lineRule="exact"/>
              <w:ind w:left="140"/>
              <w:rPr>
                <w:rFonts w:eastAsia="Arial"/>
                <w:b/>
                <w:szCs w:val="21"/>
              </w:rPr>
            </w:pPr>
          </w:p>
        </w:tc>
        <w:tc>
          <w:tcPr>
            <w:tcW w:w="2430" w:type="dxa"/>
            <w:vAlign w:val="bottom"/>
          </w:tcPr>
          <w:p>
            <w:pPr>
              <w:spacing w:line="229" w:lineRule="exact"/>
              <w:ind w:left="220"/>
              <w:rPr>
                <w:rFonts w:eastAsia="Arial"/>
                <w:szCs w:val="21"/>
              </w:rPr>
            </w:pPr>
          </w:p>
        </w:tc>
      </w:tr>
    </w:tbl>
    <w:p>
      <w:pPr>
        <w:pStyle w:val="3"/>
        <w:keepNext w:val="0"/>
        <w:widowControl/>
        <w:jc w:val="both"/>
        <w:rPr>
          <w:color w:val="000000"/>
          <w:sz w:val="21"/>
          <w:szCs w:val="21"/>
        </w:rPr>
      </w:pPr>
      <w:r>
        <w:rPr>
          <w:b/>
          <w:color w:val="000000"/>
          <w:sz w:val="21"/>
          <w:szCs w:val="21"/>
        </w:rPr>
        <w:t>Section 10 reactivity and stability data</w:t>
      </w:r>
    </w:p>
    <w:p>
      <w:pPr>
        <w:spacing w:beforeAutospacing="1" w:afterAutospacing="1"/>
        <w:rPr>
          <w:color w:val="000000"/>
          <w:szCs w:val="21"/>
        </w:rPr>
      </w:pPr>
      <w:r>
        <w:rPr>
          <w:b/>
          <w:bCs/>
          <w:color w:val="000000"/>
          <w:szCs w:val="21"/>
          <w:lang w:bidi="ar"/>
        </w:rPr>
        <w:t xml:space="preserve">Stability: </w:t>
      </w:r>
      <w:r>
        <w:rPr>
          <w:color w:val="000000"/>
          <w:szCs w:val="21"/>
          <w:lang w:bidi="ar"/>
        </w:rPr>
        <w:t>not stable under long exposure to high temperature. If uncovered in open air, the product will absorb water and CO</w:t>
      </w:r>
      <w:r>
        <w:rPr>
          <w:color w:val="000000"/>
          <w:szCs w:val="21"/>
          <w:vertAlign w:val="subscript"/>
          <w:lang w:bidi="ar"/>
        </w:rPr>
        <w:t>2</w:t>
      </w:r>
      <w:r>
        <w:rPr>
          <w:color w:val="000000"/>
          <w:szCs w:val="21"/>
          <w:lang w:bidi="ar"/>
        </w:rPr>
        <w:t>.</w:t>
      </w:r>
    </w:p>
    <w:p>
      <w:pPr>
        <w:spacing w:beforeAutospacing="1" w:afterAutospacing="1"/>
        <w:rPr>
          <w:color w:val="000000"/>
          <w:szCs w:val="21"/>
        </w:rPr>
      </w:pPr>
      <w:r>
        <w:rPr>
          <w:b/>
          <w:bCs/>
          <w:color w:val="000000"/>
          <w:szCs w:val="21"/>
          <w:lang w:bidi="ar"/>
        </w:rPr>
        <w:t>Incompatibility (materials to avoid):</w:t>
      </w:r>
      <w:r>
        <w:rPr>
          <w:color w:val="000000"/>
          <w:szCs w:val="21"/>
          <w:lang w:bidi="ar"/>
        </w:rPr>
        <w:t xml:space="preserve"> as stipulated in Section 7</w:t>
      </w:r>
    </w:p>
    <w:p>
      <w:pPr>
        <w:spacing w:beforeAutospacing="1" w:afterAutospacing="1"/>
        <w:rPr>
          <w:color w:val="000000"/>
          <w:szCs w:val="21"/>
        </w:rPr>
      </w:pPr>
      <w:r>
        <w:rPr>
          <w:b/>
          <w:bCs/>
          <w:color w:val="000000"/>
          <w:szCs w:val="21"/>
          <w:lang w:bidi="ar"/>
        </w:rPr>
        <w:t xml:space="preserve">Hazardous decomposition or byproducts: </w:t>
      </w:r>
      <w:r>
        <w:rPr>
          <w:color w:val="000000"/>
          <w:szCs w:val="21"/>
          <w:lang w:bidi="ar"/>
        </w:rPr>
        <w:t>none. </w:t>
      </w:r>
    </w:p>
    <w:p>
      <w:pPr>
        <w:pStyle w:val="3"/>
        <w:keepNext w:val="0"/>
        <w:widowControl/>
        <w:jc w:val="both"/>
        <w:rPr>
          <w:color w:val="000000"/>
          <w:sz w:val="21"/>
          <w:szCs w:val="21"/>
        </w:rPr>
      </w:pPr>
      <w:r>
        <w:rPr>
          <w:b/>
          <w:color w:val="000000"/>
          <w:sz w:val="21"/>
          <w:szCs w:val="21"/>
        </w:rPr>
        <w:t>Section 11 Toxicity data</w:t>
      </w:r>
    </w:p>
    <w:p>
      <w:pPr>
        <w:spacing w:beforeAutospacing="1" w:afterAutospacing="1"/>
        <w:rPr>
          <w:color w:val="000000"/>
          <w:szCs w:val="21"/>
        </w:rPr>
      </w:pPr>
      <w:r>
        <w:rPr>
          <w:color w:val="000000"/>
          <w:szCs w:val="21"/>
          <w:lang w:bidi="ar"/>
        </w:rPr>
        <w:t>TIPA belongs to organic alkali weak corrosive chemicals.</w:t>
      </w:r>
    </w:p>
    <w:p>
      <w:pPr>
        <w:spacing w:beforeAutospacing="1" w:afterAutospacing="1"/>
        <w:rPr>
          <w:color w:val="000000"/>
          <w:szCs w:val="21"/>
        </w:rPr>
      </w:pPr>
      <w:r>
        <w:rPr>
          <w:color w:val="000000"/>
          <w:szCs w:val="21"/>
          <w:lang w:bidi="ar"/>
        </w:rPr>
        <w:t>Repeated and prolonged exposure may result in certain skin inflammation.</w:t>
      </w:r>
    </w:p>
    <w:p>
      <w:pPr>
        <w:spacing w:beforeAutospacing="1" w:afterAutospacing="1"/>
        <w:rPr>
          <w:color w:val="000000"/>
          <w:szCs w:val="21"/>
        </w:rPr>
      </w:pPr>
      <w:r>
        <w:rPr>
          <w:color w:val="000000"/>
          <w:szCs w:val="21"/>
          <w:lang w:bidi="ar"/>
        </w:rPr>
        <w:t>Ingestion maybe have toxic results.</w:t>
      </w:r>
    </w:p>
    <w:p>
      <w:pPr>
        <w:spacing w:beforeAutospacing="1" w:afterAutospacing="1"/>
        <w:rPr>
          <w:color w:val="000000"/>
          <w:szCs w:val="21"/>
        </w:rPr>
      </w:pPr>
      <w:r>
        <w:rPr>
          <w:color w:val="000000"/>
          <w:szCs w:val="21"/>
          <w:lang w:bidi="ar"/>
        </w:rPr>
        <w:t>Eye, nose, skin contact with vapor may irritate. Prolonged contact will affect the eyesight. </w:t>
      </w:r>
    </w:p>
    <w:p>
      <w:pPr>
        <w:pStyle w:val="3"/>
        <w:keepNext w:val="0"/>
        <w:widowControl/>
        <w:jc w:val="both"/>
        <w:rPr>
          <w:color w:val="000000"/>
          <w:sz w:val="21"/>
          <w:szCs w:val="21"/>
        </w:rPr>
      </w:pPr>
      <w:r>
        <w:rPr>
          <w:b/>
          <w:color w:val="000000"/>
          <w:sz w:val="21"/>
          <w:szCs w:val="21"/>
        </w:rPr>
        <w:t>Section 12 Biological data</w:t>
      </w:r>
    </w:p>
    <w:p>
      <w:pPr>
        <w:spacing w:beforeAutospacing="1" w:afterAutospacing="1"/>
        <w:rPr>
          <w:color w:val="000000"/>
          <w:szCs w:val="21"/>
        </w:rPr>
      </w:pPr>
      <w:r>
        <w:rPr>
          <w:color w:val="000000"/>
          <w:szCs w:val="21"/>
          <w:lang w:bidi="ar"/>
        </w:rPr>
        <w:t>No official report is available. However, this product hasn’t apparent affection on the environment if the density is quite low. Otherwise, it will produce certain adverse influence on the water source, land, and aquatic organisms. </w:t>
      </w:r>
    </w:p>
    <w:p>
      <w:pPr>
        <w:pStyle w:val="3"/>
        <w:keepNext w:val="0"/>
        <w:widowControl/>
        <w:jc w:val="both"/>
        <w:rPr>
          <w:color w:val="000000"/>
          <w:sz w:val="21"/>
          <w:szCs w:val="21"/>
        </w:rPr>
      </w:pPr>
      <w:r>
        <w:rPr>
          <w:b/>
          <w:color w:val="000000"/>
          <w:sz w:val="21"/>
          <w:szCs w:val="21"/>
        </w:rPr>
        <w:t>Section 13 Waste disposal method suggestion</w:t>
      </w:r>
    </w:p>
    <w:p>
      <w:pPr>
        <w:pStyle w:val="10"/>
        <w:spacing w:beforeAutospacing="1" w:afterAutospacing="1"/>
        <w:rPr>
          <w:color w:val="000000"/>
          <w:sz w:val="21"/>
          <w:szCs w:val="21"/>
        </w:rPr>
      </w:pPr>
      <w:r>
        <w:rPr>
          <w:color w:val="000000"/>
          <w:sz w:val="21"/>
          <w:szCs w:val="21"/>
        </w:rPr>
        <w:t>TIPA and the packing materials can be recycled. Those failing to be recycled can be dealt with according to Section 6. </w:t>
      </w:r>
    </w:p>
    <w:p>
      <w:pPr>
        <w:pStyle w:val="3"/>
        <w:keepNext w:val="0"/>
        <w:widowControl/>
        <w:jc w:val="both"/>
        <w:rPr>
          <w:color w:val="000000"/>
          <w:sz w:val="21"/>
          <w:szCs w:val="21"/>
        </w:rPr>
      </w:pPr>
      <w:r>
        <w:rPr>
          <w:b/>
          <w:color w:val="000000"/>
          <w:sz w:val="21"/>
          <w:szCs w:val="21"/>
        </w:rPr>
        <w:t>Section 14 Transportation data</w:t>
      </w:r>
    </w:p>
    <w:p>
      <w:pPr>
        <w:spacing w:beforeAutospacing="1" w:afterAutospacing="1"/>
        <w:rPr>
          <w:b/>
          <w:color w:val="000000"/>
          <w:szCs w:val="21"/>
          <w:lang w:bidi="ar"/>
        </w:rPr>
      </w:pPr>
      <w:r>
        <w:rPr>
          <w:b/>
          <w:color w:val="000000"/>
          <w:szCs w:val="21"/>
          <w:lang w:bidi="ar"/>
        </w:rPr>
        <w:t>14.1 UN-Number</w:t>
      </w:r>
    </w:p>
    <w:p>
      <w:pPr>
        <w:spacing w:beforeAutospacing="1" w:afterAutospacing="1"/>
        <w:rPr>
          <w:color w:val="000000"/>
          <w:szCs w:val="21"/>
          <w:lang w:bidi="ar"/>
        </w:rPr>
      </w:pPr>
      <w:r>
        <w:rPr>
          <w:b/>
          <w:color w:val="000000"/>
          <w:szCs w:val="21"/>
          <w:lang w:bidi="ar"/>
        </w:rPr>
        <w:t xml:space="preserve">ADR, IMDG, IATA  </w:t>
      </w:r>
      <w:r>
        <w:rPr>
          <w:color w:val="000000"/>
          <w:szCs w:val="21"/>
          <w:lang w:bidi="ar"/>
        </w:rPr>
        <w:t xml:space="preserve">                None</w:t>
      </w:r>
    </w:p>
    <w:p>
      <w:pPr>
        <w:spacing w:beforeAutospacing="1" w:afterAutospacing="1"/>
        <w:rPr>
          <w:b/>
          <w:color w:val="000000"/>
          <w:szCs w:val="21"/>
          <w:lang w:bidi="ar"/>
        </w:rPr>
      </w:pPr>
      <w:r>
        <w:rPr>
          <w:b/>
          <w:color w:val="000000"/>
          <w:szCs w:val="21"/>
          <w:lang w:bidi="ar"/>
        </w:rPr>
        <w:t>14.2 UN proper shipping name</w:t>
      </w:r>
    </w:p>
    <w:p>
      <w:pPr>
        <w:spacing w:beforeAutospacing="1" w:afterAutospacing="1"/>
        <w:rPr>
          <w:color w:val="000000"/>
          <w:szCs w:val="21"/>
          <w:lang w:bidi="ar"/>
        </w:rPr>
      </w:pPr>
      <w:r>
        <w:rPr>
          <w:b/>
          <w:color w:val="000000"/>
          <w:szCs w:val="21"/>
          <w:lang w:bidi="ar"/>
        </w:rPr>
        <w:t>ADR, IMDG, IATA</w:t>
      </w:r>
      <w:r>
        <w:rPr>
          <w:color w:val="000000"/>
          <w:szCs w:val="21"/>
          <w:lang w:bidi="ar"/>
        </w:rPr>
        <w:t xml:space="preserve">                  None</w:t>
      </w:r>
    </w:p>
    <w:p>
      <w:pPr>
        <w:spacing w:beforeAutospacing="1" w:afterAutospacing="1"/>
        <w:rPr>
          <w:b/>
          <w:color w:val="000000"/>
          <w:szCs w:val="21"/>
          <w:lang w:bidi="ar"/>
        </w:rPr>
      </w:pPr>
      <w:r>
        <w:rPr>
          <w:b/>
          <w:color w:val="000000"/>
          <w:szCs w:val="21"/>
          <w:lang w:bidi="ar"/>
        </w:rPr>
        <w:t>14.3 Transport hazard class (es)</w:t>
      </w:r>
    </w:p>
    <w:p>
      <w:pPr>
        <w:spacing w:beforeAutospacing="1" w:afterAutospacing="1"/>
        <w:rPr>
          <w:color w:val="000000"/>
          <w:szCs w:val="21"/>
          <w:lang w:bidi="ar"/>
        </w:rPr>
      </w:pPr>
      <w:r>
        <w:rPr>
          <w:b/>
          <w:color w:val="000000"/>
          <w:szCs w:val="21"/>
          <w:lang w:bidi="ar"/>
        </w:rPr>
        <w:t>ADR, IMDG, IATA</w:t>
      </w:r>
      <w:r>
        <w:rPr>
          <w:color w:val="000000"/>
          <w:szCs w:val="21"/>
          <w:lang w:bidi="ar"/>
        </w:rPr>
        <w:t xml:space="preserve">                  None</w:t>
      </w:r>
    </w:p>
    <w:p>
      <w:pPr>
        <w:spacing w:beforeAutospacing="1" w:afterAutospacing="1"/>
        <w:rPr>
          <w:b/>
          <w:color w:val="000000"/>
          <w:szCs w:val="21"/>
          <w:lang w:bidi="ar"/>
        </w:rPr>
      </w:pPr>
      <w:r>
        <w:rPr>
          <w:b/>
          <w:color w:val="000000"/>
          <w:szCs w:val="21"/>
          <w:lang w:bidi="ar"/>
        </w:rPr>
        <w:t>14.4 Packing group</w:t>
      </w:r>
    </w:p>
    <w:p>
      <w:pPr>
        <w:spacing w:beforeAutospacing="1" w:afterAutospacing="1"/>
        <w:rPr>
          <w:color w:val="000000"/>
          <w:szCs w:val="21"/>
          <w:lang w:bidi="ar"/>
        </w:rPr>
      </w:pPr>
      <w:r>
        <w:rPr>
          <w:b/>
          <w:color w:val="000000"/>
          <w:szCs w:val="21"/>
          <w:lang w:bidi="ar"/>
        </w:rPr>
        <w:t>ADR, IMDG, IATA</w:t>
      </w:r>
      <w:r>
        <w:rPr>
          <w:color w:val="000000"/>
          <w:szCs w:val="21"/>
          <w:lang w:bidi="ar"/>
        </w:rPr>
        <w:t xml:space="preserve">                  None</w:t>
      </w:r>
    </w:p>
    <w:p>
      <w:pPr>
        <w:spacing w:beforeAutospacing="1" w:afterAutospacing="1"/>
        <w:rPr>
          <w:color w:val="000000"/>
          <w:szCs w:val="21"/>
          <w:lang w:bidi="ar"/>
        </w:rPr>
      </w:pPr>
      <w:r>
        <w:rPr>
          <w:b/>
          <w:color w:val="000000"/>
          <w:szCs w:val="21"/>
          <w:lang w:bidi="ar"/>
        </w:rPr>
        <w:t xml:space="preserve">14.5 Environmental hazards: </w:t>
      </w:r>
      <w:r>
        <w:rPr>
          <w:color w:val="000000"/>
          <w:szCs w:val="21"/>
          <w:lang w:bidi="ar"/>
        </w:rPr>
        <w:t xml:space="preserve">         Not applicable.</w:t>
      </w:r>
    </w:p>
    <w:p>
      <w:pPr>
        <w:spacing w:beforeAutospacing="1" w:afterAutospacing="1"/>
        <w:rPr>
          <w:color w:val="000000"/>
          <w:szCs w:val="21"/>
          <w:lang w:bidi="ar"/>
        </w:rPr>
      </w:pPr>
      <w:r>
        <w:rPr>
          <w:b/>
          <w:color w:val="000000"/>
          <w:szCs w:val="21"/>
          <w:lang w:bidi="ar"/>
        </w:rPr>
        <w:t>14.6 Special precautions for user:</w:t>
      </w:r>
      <w:r>
        <w:rPr>
          <w:color w:val="000000"/>
          <w:szCs w:val="21"/>
          <w:lang w:bidi="ar"/>
        </w:rPr>
        <w:t xml:space="preserve">      Not applicable</w:t>
      </w:r>
    </w:p>
    <w:p>
      <w:pPr>
        <w:spacing w:beforeAutospacing="1" w:afterAutospacing="1"/>
        <w:rPr>
          <w:color w:val="000000"/>
          <w:szCs w:val="21"/>
          <w:lang w:bidi="ar"/>
        </w:rPr>
      </w:pPr>
      <w:r>
        <w:rPr>
          <w:b/>
          <w:color w:val="000000"/>
          <w:szCs w:val="21"/>
          <w:lang w:bidi="ar"/>
        </w:rPr>
        <w:t>14.7 Transport/Additional information:</w:t>
      </w:r>
      <w:r>
        <w:rPr>
          <w:color w:val="000000"/>
          <w:szCs w:val="21"/>
          <w:lang w:bidi="ar"/>
        </w:rPr>
        <w:t xml:space="preserve"> Not dangerous according to the above specifications.</w:t>
      </w:r>
    </w:p>
    <w:p>
      <w:pPr>
        <w:spacing w:beforeAutospacing="1" w:afterAutospacing="1"/>
        <w:rPr>
          <w:color w:val="000000"/>
          <w:szCs w:val="21"/>
        </w:rPr>
      </w:pPr>
      <w:r>
        <w:rPr>
          <w:b/>
          <w:color w:val="000000"/>
          <w:szCs w:val="21"/>
        </w:rPr>
        <w:t>Section 15 Legal requirements</w:t>
      </w:r>
    </w:p>
    <w:p>
      <w:pPr>
        <w:spacing w:beforeAutospacing="1" w:afterAutospacing="1"/>
        <w:rPr>
          <w:color w:val="000000"/>
          <w:szCs w:val="21"/>
        </w:rPr>
      </w:pPr>
      <w:r>
        <w:rPr>
          <w:color w:val="000000"/>
          <w:szCs w:val="21"/>
          <w:lang w:bidi="ar"/>
        </w:rPr>
        <w:t>For TIPA 85%, it belongs to organic weak-corrosive chemicals. The products should not be labeled with danger mark. </w:t>
      </w:r>
    </w:p>
    <w:p>
      <w:pPr>
        <w:pStyle w:val="3"/>
        <w:keepNext w:val="0"/>
        <w:widowControl/>
        <w:jc w:val="both"/>
        <w:rPr>
          <w:color w:val="000000"/>
          <w:sz w:val="21"/>
          <w:szCs w:val="21"/>
        </w:rPr>
      </w:pPr>
      <w:r>
        <w:rPr>
          <w:b/>
          <w:color w:val="000000"/>
          <w:sz w:val="21"/>
          <w:szCs w:val="21"/>
        </w:rPr>
        <w:t>Section16 Other information</w:t>
      </w:r>
    </w:p>
    <w:p>
      <w:pPr>
        <w:spacing w:beforeAutospacing="1" w:afterAutospacing="1"/>
        <w:rPr>
          <w:color w:val="000000"/>
          <w:szCs w:val="21"/>
        </w:rPr>
      </w:pPr>
      <w:r>
        <w:rPr>
          <w:color w:val="000000"/>
          <w:szCs w:val="21"/>
          <w:lang w:bidi="ar"/>
        </w:rPr>
        <w:t>The information contained herein is believed to be accurate. However, it is provided solely for the customer consideration, investigation and verification. Manufacturer hereby specifically disclaims any and all warranties, expressed or implied, regarding the accuracy and completeness of such information, and makes no representations with respect thereto. </w:t>
      </w:r>
    </w:p>
    <w:p>
      <w:pPr>
        <w:spacing w:beforeAutospacing="1" w:afterAutospacing="1"/>
        <w:rPr>
          <w:color w:val="000000"/>
          <w:szCs w:val="21"/>
          <w:lang w:bidi="ar"/>
        </w:rPr>
      </w:pPr>
    </w:p>
    <w:p>
      <w:pPr>
        <w:pStyle w:val="9"/>
        <w:rPr>
          <w:rFonts w:ascii="Times New Roman"/>
          <w:color w:val="000000"/>
          <w:sz w:val="21"/>
          <w:szCs w:val="21"/>
        </w:rPr>
      </w:pPr>
    </w:p>
    <w:p>
      <w:pPr>
        <w:rPr>
          <w:szCs w:val="21"/>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sz w:val="48"/>
        <w:szCs w:val="48"/>
      </w:rPr>
    </w:pPr>
    <w:r>
      <w:rPr>
        <w:rFonts w:hint="eastAsia"/>
        <w:sz w:val="48"/>
        <w:szCs w:val="48"/>
      </w:rPr>
      <w:t>Material Safety Data Sheet</w:t>
    </w:r>
  </w:p>
  <w:p>
    <w:pPr>
      <w:pStyle w:val="8"/>
      <w:rPr>
        <w:sz w:val="28"/>
        <w:szCs w:val="28"/>
      </w:rPr>
    </w:pPr>
    <w:r>
      <w:rPr>
        <w:rFonts w:ascii="Arial" w:hAnsi="Arial" w:eastAsia="Arial"/>
        <w:b/>
      </w:rPr>
      <w:t xml:space="preserve">Issue Date: </w:t>
    </w:r>
    <w:r>
      <w:rPr>
        <w:rFonts w:ascii="Arial" w:hAnsi="Arial" w:eastAsia="Arial"/>
      </w:rPr>
      <w:t>10.0</w:t>
    </w:r>
    <w:r>
      <w:rPr>
        <w:rFonts w:hint="eastAsia" w:ascii="Arial" w:hAnsi="Arial"/>
        <w:lang w:val="en-US" w:eastAsia="zh-CN"/>
      </w:rPr>
      <w:t>5</w:t>
    </w:r>
    <w:r>
      <w:rPr>
        <w:rFonts w:ascii="Arial" w:hAnsi="Arial" w:eastAsia="Arial"/>
      </w:rPr>
      <w:t>.20</w:t>
    </w:r>
    <w:r>
      <w:rPr>
        <w:rFonts w:hint="eastAsia" w:ascii="Arial" w:hAnsi="Arial"/>
        <w:lang w:val="en-US" w:eastAsia="zh-CN"/>
      </w:rPr>
      <w:t>21</w:t>
    </w:r>
    <w:r>
      <w:rPr>
        <w:rFonts w:hint="eastAsia" w:ascii="Arial" w:hAnsi="Arial"/>
      </w:rPr>
      <w:t xml:space="preserve">                               </w:t>
    </w:r>
    <w:r>
      <w:rPr>
        <w:rFonts w:ascii="Arial" w:hAnsi="Arial" w:eastAsia="Arial"/>
        <w:b/>
      </w:rPr>
      <w:t xml:space="preserve">Product Name: </w:t>
    </w:r>
    <w:r>
      <w:rPr>
        <w:rFonts w:ascii="Arial" w:hAnsi="Arial" w:eastAsia="Arial"/>
      </w:rPr>
      <w:t>Triisopropanolamine 85</w:t>
    </w:r>
    <w:r>
      <w:rPr>
        <w:rFonts w:hint="eastAsia" w:ascii="Arial" w:hAnsi="Arial"/>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325"/>
    <w:rsid w:val="00124FAF"/>
    <w:rsid w:val="002D43A2"/>
    <w:rsid w:val="002E56F3"/>
    <w:rsid w:val="003B578D"/>
    <w:rsid w:val="003C39D7"/>
    <w:rsid w:val="00403CE8"/>
    <w:rsid w:val="004A7822"/>
    <w:rsid w:val="00546585"/>
    <w:rsid w:val="005B3A50"/>
    <w:rsid w:val="006511DC"/>
    <w:rsid w:val="006D4066"/>
    <w:rsid w:val="00766931"/>
    <w:rsid w:val="008156CE"/>
    <w:rsid w:val="008E1325"/>
    <w:rsid w:val="008E7467"/>
    <w:rsid w:val="00986EF7"/>
    <w:rsid w:val="00A01187"/>
    <w:rsid w:val="00A20715"/>
    <w:rsid w:val="00A667AB"/>
    <w:rsid w:val="00C57B28"/>
    <w:rsid w:val="00D22DC1"/>
    <w:rsid w:val="00D26487"/>
    <w:rsid w:val="00DB7AA9"/>
    <w:rsid w:val="00DD1DE6"/>
    <w:rsid w:val="00EE1CE7"/>
    <w:rsid w:val="00F73CFF"/>
    <w:rsid w:val="0E104230"/>
    <w:rsid w:val="154039A5"/>
    <w:rsid w:val="188A5DC2"/>
    <w:rsid w:val="19C23594"/>
    <w:rsid w:val="2C9E1879"/>
    <w:rsid w:val="2EA02270"/>
    <w:rsid w:val="31E975DB"/>
    <w:rsid w:val="4E9643CE"/>
    <w:rsid w:val="692C40A5"/>
    <w:rsid w:val="6F421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4"/>
    <w:unhideWhenUsed/>
    <w:qFormat/>
    <w:uiPriority w:val="0"/>
    <w:pPr>
      <w:keepNext/>
      <w:widowControl w:val="0"/>
      <w:jc w:val="center"/>
      <w:outlineLvl w:val="2"/>
    </w:pPr>
    <w:rPr>
      <w:sz w:val="36"/>
    </w:rPr>
  </w:style>
  <w:style w:type="character" w:default="1" w:styleId="12">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Indent"/>
    <w:basedOn w:val="1"/>
    <w:qFormat/>
    <w:uiPriority w:val="0"/>
    <w:pPr>
      <w:snapToGrid w:val="0"/>
      <w:ind w:left="1440" w:hanging="1440"/>
    </w:pPr>
    <w:rPr>
      <w:rFonts w:ascii="宋体"/>
      <w:sz w:val="24"/>
    </w:rPr>
  </w:style>
  <w:style w:type="paragraph" w:styleId="6">
    <w:name w:val="Body Text Indent 2"/>
    <w:basedOn w:val="1"/>
    <w:qFormat/>
    <w:uiPriority w:val="0"/>
    <w:pPr>
      <w:snapToGrid w:val="0"/>
      <w:ind w:left="1260" w:hanging="1260"/>
    </w:pPr>
    <w:rPr>
      <w:rFonts w:ascii="宋体"/>
      <w:sz w:val="24"/>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Body Text 2"/>
    <w:basedOn w:val="1"/>
    <w:qFormat/>
    <w:uiPriority w:val="0"/>
    <w:pPr>
      <w:snapToGrid w:val="0"/>
    </w:pPr>
    <w:rPr>
      <w:rFonts w:ascii="宋体"/>
      <w:sz w:val="24"/>
    </w:rPr>
  </w:style>
  <w:style w:type="paragraph" w:styleId="10">
    <w:name w:val="Normal (Web)"/>
    <w:basedOn w:val="1"/>
    <w:qFormat/>
    <w:uiPriority w:val="0"/>
    <w:rPr>
      <w:sz w:val="24"/>
    </w:rPr>
  </w:style>
  <w:style w:type="character" w:styleId="13">
    <w:name w:val="Hyperlink"/>
    <w:basedOn w:val="12"/>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1250</Words>
  <Characters>7129</Characters>
  <Lines>59</Lines>
  <Paragraphs>16</Paragraphs>
  <TotalTime>9</TotalTime>
  <ScaleCrop>false</ScaleCrop>
  <LinksUpToDate>false</LinksUpToDate>
  <CharactersWithSpaces>8363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谷丽辉</cp:lastModifiedBy>
  <cp:lastPrinted>2021-06-09T01:24:51Z</cp:lastPrinted>
  <dcterms:modified xsi:type="dcterms:W3CDTF">2021-06-09T01:26:24Z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F7C9E74F50F04107BA6232FF55BE2D7A</vt:lpwstr>
  </property>
</Properties>
</file>