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color="auto" w:fill="FFFFFF"/>
        <w:spacing w:before="0" w:beforeAutospacing="0" w:after="105" w:afterAutospacing="0" w:line="20" w:lineRule="atLeast"/>
        <w:ind w:left="0" w:firstLine="0"/>
        <w:jc w:val="center"/>
        <w:rPr>
          <w:rFonts w:hint="default" w:eastAsia="sans-serif" w:cs="sans-serif" w:asciiTheme="minorAscii" w:hAnsiTheme="minorAscii"/>
          <w:b/>
          <w:bCs/>
          <w:i w:val="0"/>
          <w:iCs w:val="0"/>
          <w:caps w:val="0"/>
          <w:color w:val="555555"/>
          <w:spacing w:val="0"/>
          <w:sz w:val="35"/>
          <w:szCs w:val="35"/>
        </w:rPr>
      </w:pPr>
      <w:r>
        <w:rPr>
          <w:rFonts w:hint="default" w:eastAsia="sans-serif" w:cs="sans-serif" w:asciiTheme="minorAscii" w:hAnsiTheme="minorAscii"/>
          <w:b/>
          <w:bCs/>
          <w:i w:val="0"/>
          <w:iCs w:val="0"/>
          <w:caps w:val="0"/>
          <w:color w:val="555555"/>
          <w:spacing w:val="0"/>
          <w:sz w:val="35"/>
          <w:szCs w:val="35"/>
          <w:shd w:val="clear" w:color="auto" w:fill="FFFFFF"/>
        </w:rPr>
        <w:t>Concrete Admixture – Alkali-Free Accelerator for Shotcrete (</w:t>
      </w:r>
      <w:r>
        <w:rPr>
          <w:rFonts w:hint="eastAsia" w:cs="sans-serif" w:asciiTheme="minorAscii" w:hAnsiTheme="minorAscii"/>
          <w:b/>
          <w:bCs/>
          <w:i w:val="0"/>
          <w:iCs w:val="0"/>
          <w:caps w:val="0"/>
          <w:color w:val="555555"/>
          <w:spacing w:val="0"/>
          <w:sz w:val="35"/>
          <w:szCs w:val="35"/>
          <w:shd w:val="clear" w:color="auto" w:fill="FFFFFF"/>
          <w:lang w:val="en-US" w:eastAsia="zh-CN"/>
        </w:rPr>
        <w:t>GQ-SN03</w:t>
      </w:r>
      <w:r>
        <w:rPr>
          <w:rFonts w:hint="default" w:eastAsia="sans-serif" w:cs="sans-serif" w:asciiTheme="minorAscii" w:hAnsiTheme="minorAscii"/>
          <w:b/>
          <w:bCs/>
          <w:i w:val="0"/>
          <w:iCs w:val="0"/>
          <w:caps w:val="0"/>
          <w:color w:val="555555"/>
          <w:spacing w:val="0"/>
          <w:sz w:val="35"/>
          <w:szCs w:val="35"/>
          <w:shd w:val="clear" w:color="auto" w:fill="FFFFFF"/>
        </w:rPr>
        <w:t>)</w:t>
      </w:r>
    </w:p>
    <w:p>
      <w:pPr>
        <w:pStyle w:val="8"/>
        <w:keepNext w:val="0"/>
        <w:keepLines w:val="0"/>
        <w:widowControl/>
        <w:suppressLineNumbers w:val="0"/>
        <w:spacing w:before="0" w:beforeAutospacing="0" w:after="273" w:afterAutospacing="0"/>
        <w:rPr>
          <w:rFonts w:hint="default" w:eastAsia="宋体" w:cs="sans-serif" w:asciiTheme="minorAscii" w:hAnsiTheme="minorAscii"/>
          <w:b/>
          <w:bCs/>
          <w:i w:val="0"/>
          <w:iCs w:val="0"/>
          <w:caps w:val="0"/>
          <w:color w:val="555555"/>
          <w:spacing w:val="0"/>
          <w:sz w:val="26"/>
          <w:szCs w:val="26"/>
          <w:shd w:val="clear" w:color="auto" w:fill="FFFFFF"/>
          <w:lang w:val="en-US" w:eastAsia="zh-CN"/>
        </w:rPr>
      </w:pPr>
      <w:r>
        <w:rPr>
          <w:rFonts w:hint="default" w:eastAsia="sans-serif" w:cs="sans-serif" w:asciiTheme="minorAscii" w:hAnsiTheme="minorAscii"/>
          <w:i w:val="0"/>
          <w:iCs w:val="0"/>
          <w:caps w:val="0"/>
          <w:color w:val="333333"/>
          <w:spacing w:val="0"/>
          <w:sz w:val="27"/>
          <w:szCs w:val="27"/>
          <w:shd w:val="clear" w:color="auto" w:fill="FFFFFF"/>
        </w:rPr>
        <w:t>Product Name: Alkali-Free Accelerator for Shotcrete (GQ-SN03)</w:t>
      </w:r>
      <w:r>
        <w:rPr>
          <w:rFonts w:hint="default" w:eastAsia="sans-serif" w:cs="sans-serif" w:asciiTheme="minorAscii" w:hAnsiTheme="minorAscii"/>
          <w:i w:val="0"/>
          <w:iCs w:val="0"/>
          <w:caps w:val="0"/>
          <w:color w:val="333333"/>
          <w:spacing w:val="0"/>
          <w:sz w:val="27"/>
          <w:szCs w:val="27"/>
          <w:shd w:val="clear" w:color="auto" w:fill="FFFFFF"/>
        </w:rPr>
        <w:br w:type="textWrapping"/>
      </w:r>
      <w:r>
        <w:rPr>
          <w:rFonts w:hint="default" w:eastAsia="sans-serif" w:cs="sans-serif" w:asciiTheme="minorAscii" w:hAnsiTheme="minorAscii"/>
          <w:i w:val="0"/>
          <w:iCs w:val="0"/>
          <w:caps w:val="0"/>
          <w:color w:val="333333"/>
          <w:spacing w:val="0"/>
          <w:sz w:val="27"/>
          <w:szCs w:val="27"/>
          <w:shd w:val="clear" w:color="auto" w:fill="FFFFFF"/>
        </w:rPr>
        <w:t xml:space="preserve">Type: </w:t>
      </w:r>
      <w:r>
        <w:rPr>
          <w:rFonts w:hint="default" w:eastAsia="sans-serif" w:cs="sans-serif" w:asciiTheme="minorAscii" w:hAnsiTheme="minorAscii"/>
          <w:i w:val="0"/>
          <w:iCs w:val="0"/>
          <w:caps w:val="0"/>
          <w:color w:val="333333"/>
          <w:spacing w:val="0"/>
          <w:sz w:val="27"/>
          <w:szCs w:val="27"/>
          <w:shd w:val="clear" w:color="auto" w:fill="FFFFFF"/>
          <w:lang w:val="en-US" w:eastAsia="zh-CN"/>
        </w:rPr>
        <w:t>GQ-SN03</w:t>
      </w:r>
      <w:r>
        <w:rPr>
          <w:rFonts w:hint="default" w:eastAsia="sans-serif" w:cs="sans-serif" w:asciiTheme="minorAscii" w:hAnsiTheme="minorAscii"/>
          <w:i w:val="0"/>
          <w:iCs w:val="0"/>
          <w:caps w:val="0"/>
          <w:color w:val="333333"/>
          <w:spacing w:val="0"/>
          <w:sz w:val="27"/>
          <w:szCs w:val="27"/>
          <w:shd w:val="clear" w:color="auto" w:fill="FFFFFF"/>
        </w:rPr>
        <w:br w:type="textWrapping"/>
      </w:r>
      <w:r>
        <w:rPr>
          <w:rFonts w:hint="default" w:eastAsia="sans-serif" w:cs="sans-serif" w:asciiTheme="minorAscii" w:hAnsiTheme="minorAscii"/>
          <w:i w:val="0"/>
          <w:iCs w:val="0"/>
          <w:caps w:val="0"/>
          <w:color w:val="333333"/>
          <w:spacing w:val="0"/>
          <w:sz w:val="27"/>
          <w:szCs w:val="27"/>
          <w:shd w:val="clear" w:color="auto" w:fill="FFFFFF"/>
        </w:rPr>
        <w:t>Package: 250kg/drum</w:t>
      </w:r>
      <w:r>
        <w:rPr>
          <w:rFonts w:hint="eastAsia" w:cs="sans-serif" w:asciiTheme="minorAscii" w:hAnsiTheme="minorAscii"/>
          <w:i w:val="0"/>
          <w:iCs w:val="0"/>
          <w:caps w:val="0"/>
          <w:color w:val="333333"/>
          <w:spacing w:val="0"/>
          <w:sz w:val="27"/>
          <w:szCs w:val="27"/>
          <w:shd w:val="clear" w:color="auto" w:fill="FFFFFF"/>
          <w:lang w:val="en-US" w:eastAsia="zh-CN"/>
        </w:rPr>
        <w:t>, 1000kg/IBC Tank</w:t>
      </w:r>
    </w:p>
    <w:p>
      <w:pPr>
        <w:pStyle w:val="3"/>
        <w:keepNext w:val="0"/>
        <w:keepLines w:val="0"/>
        <w:widowControl/>
        <w:suppressLineNumbers w:val="0"/>
        <w:shd w:val="clear" w:color="auto" w:fill="FFFFFF"/>
        <w:spacing w:before="0" w:beforeAutospacing="0" w:after="105" w:afterAutospacing="0"/>
        <w:ind w:left="0" w:firstLine="0"/>
        <w:jc w:val="center"/>
        <w:rPr>
          <w:rFonts w:hint="default" w:eastAsia="sans-serif" w:cs="sans-serif" w:asciiTheme="minorAscii" w:hAnsiTheme="minorAscii"/>
          <w:b/>
          <w:bCs/>
          <w:i w:val="0"/>
          <w:iCs w:val="0"/>
          <w:caps w:val="0"/>
          <w:color w:val="555555"/>
          <w:spacing w:val="0"/>
          <w:sz w:val="36"/>
          <w:szCs w:val="36"/>
        </w:rPr>
      </w:pPr>
      <w:r>
        <w:rPr>
          <w:rFonts w:hint="default" w:eastAsia="sans-serif" w:cs="sans-serif" w:asciiTheme="minorAscii" w:hAnsiTheme="minorAscii"/>
          <w:b/>
          <w:bCs/>
          <w:i w:val="0"/>
          <w:iCs w:val="0"/>
          <w:caps w:val="0"/>
          <w:color w:val="555555"/>
          <w:spacing w:val="0"/>
          <w:sz w:val="36"/>
          <w:szCs w:val="36"/>
          <w:shd w:val="clear" w:color="auto" w:fill="FFFFFF"/>
        </w:rPr>
        <w:t>Alkali-Free Accelerator for Shotcrete</w:t>
      </w:r>
    </w:p>
    <w:p>
      <w:pPr>
        <w:pStyle w:val="5"/>
        <w:keepNext w:val="0"/>
        <w:keepLines w:val="0"/>
        <w:widowControl/>
        <w:suppressLineNumbers w:val="0"/>
        <w:shd w:val="clear" w:color="auto" w:fill="FFFFFF"/>
        <w:spacing w:before="0" w:beforeAutospacing="0" w:after="105" w:afterAutospacing="0"/>
        <w:ind w:left="0" w:firstLine="0"/>
        <w:jc w:val="center"/>
        <w:rPr>
          <w:rFonts w:hint="default" w:ascii="Calibri" w:hAnsi="Calibri" w:eastAsia="sans-serif" w:cs="Calibri"/>
          <w:b/>
          <w:bCs/>
          <w:i w:val="0"/>
          <w:iCs w:val="0"/>
          <w:caps w:val="0"/>
          <w:color w:val="555555"/>
          <w:spacing w:val="0"/>
          <w:sz w:val="36"/>
          <w:szCs w:val="36"/>
        </w:rPr>
      </w:pPr>
      <w:r>
        <w:rPr>
          <w:rFonts w:hint="default" w:ascii="Calibri" w:hAnsi="Calibri" w:eastAsia="sans-serif" w:cs="Calibri"/>
          <w:b/>
          <w:bCs/>
          <w:i w:val="0"/>
          <w:iCs w:val="0"/>
          <w:caps w:val="0"/>
          <w:color w:val="555555"/>
          <w:spacing w:val="0"/>
          <w:sz w:val="36"/>
          <w:szCs w:val="36"/>
          <w:shd w:val="clear" w:color="auto" w:fill="FFFFFF"/>
        </w:rPr>
        <w:t>(</w:t>
      </w:r>
      <w:r>
        <w:rPr>
          <w:rFonts w:hint="default" w:ascii="Calibri" w:hAnsi="Calibri" w:cs="Calibri"/>
          <w:b/>
          <w:bCs/>
          <w:i w:val="0"/>
          <w:iCs w:val="0"/>
          <w:caps w:val="0"/>
          <w:color w:val="555555"/>
          <w:spacing w:val="0"/>
          <w:sz w:val="36"/>
          <w:szCs w:val="36"/>
          <w:shd w:val="clear" w:color="auto" w:fill="FFFFFF"/>
          <w:lang w:val="en-US" w:eastAsia="zh-CN"/>
        </w:rPr>
        <w:t>GQ-SN03</w:t>
      </w:r>
      <w:r>
        <w:rPr>
          <w:rFonts w:hint="default" w:ascii="Calibri" w:hAnsi="Calibri" w:eastAsia="sans-serif" w:cs="Calibri"/>
          <w:b/>
          <w:bCs/>
          <w:i w:val="0"/>
          <w:iCs w:val="0"/>
          <w:caps w:val="0"/>
          <w:color w:val="555555"/>
          <w:spacing w:val="0"/>
          <w:sz w:val="36"/>
          <w:szCs w:val="36"/>
          <w:shd w:val="clear" w:color="auto" w:fill="FFFFFF"/>
        </w:rPr>
        <w:t>)</w:t>
      </w:r>
    </w:p>
    <w:p>
      <w:pPr>
        <w:pStyle w:val="4"/>
        <w:keepNext w:val="0"/>
        <w:keepLines w:val="0"/>
        <w:widowControl/>
        <w:suppressLineNumbers w:val="0"/>
        <w:shd w:val="clear" w:color="auto" w:fill="FFFFFF"/>
        <w:spacing w:before="0" w:beforeAutospacing="0" w:after="105" w:afterAutospacing="0"/>
        <w:ind w:left="0" w:firstLine="0"/>
        <w:rPr>
          <w:rFonts w:hint="eastAsia" w:ascii="Calibri" w:hAnsi="Calibri" w:eastAsia="宋体" w:cs="Calibri"/>
          <w:b/>
          <w:bCs/>
          <w:i w:val="0"/>
          <w:iCs w:val="0"/>
          <w:caps w:val="0"/>
          <w:color w:val="555555"/>
          <w:spacing w:val="0"/>
          <w:sz w:val="40"/>
          <w:szCs w:val="40"/>
          <w:lang w:val="en-US" w:eastAsia="zh-CN"/>
        </w:rPr>
      </w:pPr>
      <w:r>
        <w:rPr>
          <w:rFonts w:hint="default" w:ascii="Calibri" w:hAnsi="Calibri" w:eastAsia="sans-serif" w:cs="Calibri"/>
          <w:b/>
          <w:bCs/>
          <w:i w:val="0"/>
          <w:iCs w:val="0"/>
          <w:caps w:val="0"/>
          <w:color w:val="555555"/>
          <w:spacing w:val="0"/>
          <w:sz w:val="40"/>
          <w:szCs w:val="40"/>
          <w:shd w:val="clear" w:color="auto" w:fill="FFFFFF"/>
        </w:rPr>
        <w:t>Description</w:t>
      </w:r>
      <w:r>
        <w:rPr>
          <w:rFonts w:hint="eastAsia" w:ascii="Calibri" w:hAnsi="Calibri" w:cs="Calibri"/>
          <w:b/>
          <w:bCs/>
          <w:i w:val="0"/>
          <w:iCs w:val="0"/>
          <w:caps w:val="0"/>
          <w:color w:val="555555"/>
          <w:spacing w:val="0"/>
          <w:sz w:val="40"/>
          <w:szCs w:val="40"/>
          <w:shd w:val="clear" w:color="auto" w:fill="FFFFFF"/>
          <w:lang w:val="en-US" w:eastAsia="zh-CN"/>
        </w:rPr>
        <w:t>:</w:t>
      </w:r>
    </w:p>
    <w:p>
      <w:pPr>
        <w:pStyle w:val="8"/>
        <w:keepNext w:val="0"/>
        <w:keepLines w:val="0"/>
        <w:widowControl/>
        <w:suppressLineNumbers w:val="0"/>
        <w:shd w:val="clear" w:color="auto" w:fill="FFFFFF"/>
        <w:spacing w:before="0" w:beforeAutospacing="0" w:after="273" w:afterAutospacing="0"/>
        <w:ind w:left="0" w:firstLine="0"/>
        <w:rPr>
          <w:rFonts w:hint="default" w:ascii="Calibri" w:hAnsi="Calibri" w:eastAsia="sans-serif" w:cs="Calibri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cs="Calibri"/>
          <w:i w:val="0"/>
          <w:iCs w:val="0"/>
          <w:caps w:val="0"/>
          <w:color w:val="333333"/>
          <w:spacing w:val="0"/>
          <w:sz w:val="27"/>
          <w:szCs w:val="27"/>
          <w:shd w:val="clear" w:color="auto" w:fill="FFFFFF"/>
          <w:lang w:val="en-US" w:eastAsia="zh-CN"/>
        </w:rPr>
        <w:t>GQ-SN03</w:t>
      </w:r>
      <w:r>
        <w:rPr>
          <w:rFonts w:hint="default" w:ascii="Calibri" w:hAnsi="Calibri" w:eastAsia="sans-serif" w:cs="Calibri"/>
          <w:i w:val="0"/>
          <w:iCs w:val="0"/>
          <w:caps w:val="0"/>
          <w:color w:val="333333"/>
          <w:spacing w:val="0"/>
          <w:sz w:val="27"/>
          <w:szCs w:val="27"/>
          <w:shd w:val="clear" w:color="auto" w:fill="FFFFFF"/>
        </w:rPr>
        <w:t xml:space="preserve"> is a high-performance alkali-free concrete accelerator for sprayed concrete. It is a liquid form which dosage can be varied as according to the designed setting and hardening times.</w:t>
      </w:r>
    </w:p>
    <w:p>
      <w:pPr>
        <w:pStyle w:val="4"/>
        <w:keepNext w:val="0"/>
        <w:keepLines w:val="0"/>
        <w:widowControl/>
        <w:suppressLineNumbers w:val="0"/>
        <w:shd w:val="clear" w:color="auto" w:fill="FFFFFF"/>
        <w:spacing w:before="0" w:beforeAutospacing="0" w:after="105" w:afterAutospacing="0"/>
        <w:ind w:left="0" w:firstLine="0"/>
        <w:rPr>
          <w:rFonts w:hint="eastAsia" w:ascii="Calibri" w:hAnsi="Calibri" w:eastAsia="宋体" w:cs="Calibri"/>
          <w:b/>
          <w:bCs/>
          <w:i w:val="0"/>
          <w:iCs w:val="0"/>
          <w:caps w:val="0"/>
          <w:color w:val="555555"/>
          <w:spacing w:val="0"/>
          <w:sz w:val="40"/>
          <w:szCs w:val="40"/>
          <w:lang w:val="en-US" w:eastAsia="zh-CN"/>
        </w:rPr>
      </w:pPr>
      <w:r>
        <w:rPr>
          <w:rFonts w:hint="default" w:ascii="Calibri" w:hAnsi="Calibri" w:eastAsia="sans-serif" w:cs="Calibri"/>
          <w:b/>
          <w:bCs/>
          <w:i w:val="0"/>
          <w:iCs w:val="0"/>
          <w:caps w:val="0"/>
          <w:color w:val="555555"/>
          <w:spacing w:val="0"/>
          <w:sz w:val="40"/>
          <w:szCs w:val="40"/>
          <w:shd w:val="clear" w:color="auto" w:fill="FFFFFF"/>
        </w:rPr>
        <w:t>Application</w:t>
      </w:r>
      <w:r>
        <w:rPr>
          <w:rFonts w:hint="eastAsia" w:ascii="Calibri" w:hAnsi="Calibri" w:cs="Calibri"/>
          <w:b/>
          <w:bCs/>
          <w:i w:val="0"/>
          <w:iCs w:val="0"/>
          <w:caps w:val="0"/>
          <w:color w:val="555555"/>
          <w:spacing w:val="0"/>
          <w:sz w:val="40"/>
          <w:szCs w:val="40"/>
          <w:shd w:val="clear" w:color="auto" w:fill="FFFFFF"/>
          <w:lang w:val="en-US" w:eastAsia="zh-CN"/>
        </w:rPr>
        <w:t>:</w:t>
      </w:r>
    </w:p>
    <w:p>
      <w:pPr>
        <w:pStyle w:val="8"/>
        <w:keepNext w:val="0"/>
        <w:keepLines w:val="0"/>
        <w:widowControl/>
        <w:suppressLineNumbers w:val="0"/>
        <w:shd w:val="clear" w:color="auto" w:fill="FFFFFF"/>
        <w:spacing w:before="0" w:beforeAutospacing="0" w:after="273" w:afterAutospacing="0"/>
        <w:ind w:left="0" w:firstLine="0"/>
        <w:rPr>
          <w:rFonts w:hint="default" w:ascii="Calibri" w:hAnsi="Calibri" w:eastAsia="sans-serif" w:cs="Calibri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cs="Calibri"/>
          <w:i w:val="0"/>
          <w:iCs w:val="0"/>
          <w:caps w:val="0"/>
          <w:color w:val="333333"/>
          <w:spacing w:val="0"/>
          <w:sz w:val="27"/>
          <w:szCs w:val="27"/>
          <w:shd w:val="clear" w:color="auto" w:fill="FFFFFF"/>
          <w:lang w:val="en-US" w:eastAsia="zh-CN"/>
        </w:rPr>
        <w:t xml:space="preserve">GQ-SN03 </w:t>
      </w:r>
      <w:r>
        <w:rPr>
          <w:rFonts w:hint="default" w:ascii="Calibri" w:hAnsi="Calibri" w:eastAsia="sans-serif" w:cs="Calibri"/>
          <w:i w:val="0"/>
          <w:iCs w:val="0"/>
          <w:caps w:val="0"/>
          <w:color w:val="333333"/>
          <w:spacing w:val="0"/>
          <w:sz w:val="27"/>
          <w:szCs w:val="27"/>
          <w:shd w:val="clear" w:color="auto" w:fill="FFFFFF"/>
        </w:rPr>
        <w:t xml:space="preserve"> is suitable for all applications, where high and early strength, good final strength and extremely thick layers are required.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100" w:beforeAutospacing="1" w:after="126" w:afterAutospacing="0"/>
        <w:ind w:left="360" w:leftChars="0" w:hanging="360" w:firstLineChars="0"/>
        <w:rPr>
          <w:rFonts w:hint="default" w:ascii="Calibri" w:hAnsi="Calibri" w:cs="Calibri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333333"/>
          <w:spacing w:val="0"/>
          <w:sz w:val="27"/>
          <w:szCs w:val="27"/>
          <w:shd w:val="clear" w:color="auto" w:fill="FFFFFF"/>
        </w:rPr>
        <w:t>Temporary and permanent rock support in tunnels.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100" w:beforeAutospacing="1" w:after="126" w:afterAutospacing="0"/>
        <w:ind w:left="360" w:leftChars="0" w:hanging="360" w:firstLineChars="0"/>
        <w:rPr>
          <w:rFonts w:hint="default" w:ascii="Calibri" w:hAnsi="Calibri" w:cs="Calibri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333333"/>
          <w:spacing w:val="0"/>
          <w:sz w:val="27"/>
          <w:szCs w:val="27"/>
          <w:shd w:val="clear" w:color="auto" w:fill="FFFFFF"/>
        </w:rPr>
        <w:t>Rock support in mining.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100" w:beforeAutospacing="1" w:after="126" w:afterAutospacing="0"/>
        <w:ind w:left="360" w:leftChars="0" w:hanging="360" w:firstLineChars="0"/>
        <w:rPr>
          <w:rFonts w:hint="default" w:ascii="Calibri" w:hAnsi="Calibri" w:cs="Calibri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333333"/>
          <w:spacing w:val="0"/>
          <w:sz w:val="27"/>
          <w:szCs w:val="27"/>
          <w:shd w:val="clear" w:color="auto" w:fill="FFFFFF"/>
        </w:rPr>
        <w:t>Poor ground conditions.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before="100" w:beforeAutospacing="1" w:after="126" w:afterAutospacing="0"/>
        <w:ind w:left="360" w:leftChars="0" w:hanging="360" w:firstLineChars="0"/>
        <w:rPr>
          <w:rFonts w:hint="default" w:ascii="Calibri" w:hAnsi="Calibri" w:cs="Calibri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333333"/>
          <w:spacing w:val="0"/>
          <w:sz w:val="27"/>
          <w:szCs w:val="27"/>
          <w:shd w:val="clear" w:color="auto" w:fill="FFFFFF"/>
        </w:rPr>
        <w:t>Tunnel linings, cement ground injection and foam concrete which need acceleration of cementitious grouts.</w:t>
      </w:r>
    </w:p>
    <w:p>
      <w:pPr>
        <w:pStyle w:val="4"/>
        <w:keepNext w:val="0"/>
        <w:keepLines w:val="0"/>
        <w:widowControl/>
        <w:suppressLineNumbers w:val="0"/>
        <w:shd w:val="clear" w:color="auto" w:fill="FFFFFF"/>
        <w:spacing w:before="0" w:beforeAutospacing="0" w:after="105" w:afterAutospacing="0"/>
        <w:ind w:left="0" w:firstLine="0"/>
        <w:rPr>
          <w:rFonts w:hint="eastAsia" w:ascii="Calibri" w:hAnsi="Calibri" w:eastAsia="宋体" w:cs="Calibri"/>
          <w:b/>
          <w:bCs/>
          <w:i w:val="0"/>
          <w:iCs w:val="0"/>
          <w:caps w:val="0"/>
          <w:color w:val="555555"/>
          <w:spacing w:val="0"/>
          <w:sz w:val="40"/>
          <w:szCs w:val="40"/>
          <w:lang w:val="en-US" w:eastAsia="zh-CN"/>
        </w:rPr>
      </w:pPr>
      <w:r>
        <w:rPr>
          <w:rFonts w:hint="default" w:ascii="Calibri" w:hAnsi="Calibri" w:eastAsia="sans-serif" w:cs="Calibri"/>
          <w:b/>
          <w:bCs/>
          <w:i w:val="0"/>
          <w:iCs w:val="0"/>
          <w:caps w:val="0"/>
          <w:color w:val="555555"/>
          <w:spacing w:val="0"/>
          <w:sz w:val="40"/>
          <w:szCs w:val="40"/>
          <w:shd w:val="clear" w:color="auto" w:fill="FFFFFF"/>
        </w:rPr>
        <w:t>Features</w:t>
      </w:r>
      <w:r>
        <w:rPr>
          <w:rFonts w:hint="eastAsia" w:ascii="Calibri" w:hAnsi="Calibri" w:cs="Calibri"/>
          <w:b/>
          <w:bCs/>
          <w:i w:val="0"/>
          <w:iCs w:val="0"/>
          <w:caps w:val="0"/>
          <w:color w:val="555555"/>
          <w:spacing w:val="0"/>
          <w:sz w:val="40"/>
          <w:szCs w:val="40"/>
          <w:shd w:val="clear" w:color="auto" w:fill="FFFFFF"/>
          <w:lang w:val="en-US" w:eastAsia="zh-CN"/>
        </w:rPr>
        <w:t>: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100" w:beforeAutospacing="1" w:after="126" w:afterAutospacing="0"/>
        <w:ind w:left="360" w:leftChars="0" w:hanging="360" w:firstLineChars="0"/>
        <w:rPr>
          <w:rFonts w:hint="default" w:ascii="Calibri" w:hAnsi="Calibri" w:cs="Calibri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333333"/>
          <w:spacing w:val="0"/>
          <w:sz w:val="27"/>
          <w:szCs w:val="27"/>
          <w:shd w:val="clear" w:color="auto" w:fill="FFFFFF"/>
        </w:rPr>
        <w:t>Quick setting property allowed with rapid work progress and construct thick sprayed concrete linings via layered application during one construction sequence. Initial setting time is 2 min to 5 min, final setting time is 3min to 10min.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100" w:beforeAutospacing="1" w:after="126" w:afterAutospacing="0"/>
        <w:ind w:left="360" w:leftChars="0" w:hanging="360" w:firstLineChars="0"/>
        <w:rPr>
          <w:rFonts w:hint="default" w:ascii="Calibri" w:hAnsi="Calibri" w:cs="Calibri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333333"/>
          <w:spacing w:val="0"/>
          <w:sz w:val="27"/>
          <w:szCs w:val="27"/>
          <w:shd w:val="clear" w:color="auto" w:fill="FFFFFF"/>
        </w:rPr>
        <w:t>Good adhesiveness, one spray layer can be 8 mm to 150mm.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100" w:beforeAutospacing="1" w:after="126" w:afterAutospacing="0"/>
        <w:ind w:left="360" w:leftChars="0" w:hanging="360" w:firstLineChars="0"/>
        <w:rPr>
          <w:rFonts w:hint="default" w:ascii="Calibri" w:hAnsi="Calibri" w:cs="Calibri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333333"/>
          <w:spacing w:val="0"/>
          <w:sz w:val="27"/>
          <w:szCs w:val="27"/>
          <w:shd w:val="clear" w:color="auto" w:fill="FFFFFF"/>
        </w:rPr>
        <w:t>High strength and concrete performance durability.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100" w:beforeAutospacing="1" w:after="126" w:afterAutospacing="0"/>
        <w:ind w:left="360" w:leftChars="0" w:hanging="360" w:firstLineChars="0"/>
        <w:rPr>
          <w:rFonts w:hint="default" w:ascii="Calibri" w:hAnsi="Calibri" w:cs="Calibri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333333"/>
          <w:spacing w:val="0"/>
          <w:sz w:val="27"/>
          <w:szCs w:val="27"/>
          <w:shd w:val="clear" w:color="auto" w:fill="FFFFFF"/>
        </w:rPr>
        <w:t>Easy handling as well as facilitating accurate addition to concrete.</w:t>
      </w:r>
    </w:p>
    <w:tbl>
      <w:tblPr>
        <w:tblStyle w:val="9"/>
        <w:tblpPr w:leftFromText="180" w:rightFromText="180" w:vertAnchor="text" w:horzAnchor="page" w:tblpX="1919" w:tblpY="2331"/>
        <w:tblOverlap w:val="never"/>
        <w:tblW w:w="9068" w:type="dxa"/>
        <w:tblCellSpacing w:w="0" w:type="dxa"/>
        <w:tblInd w:w="0" w:type="dxa"/>
        <w:tblBorders>
          <w:top w:val="outset" w:color="ECECEC" w:sz="6" w:space="0"/>
          <w:left w:val="outset" w:color="ECECEC" w:sz="6" w:space="0"/>
          <w:bottom w:val="outset" w:color="ECECEC" w:sz="6" w:space="0"/>
          <w:right w:val="outset" w:color="ECECEC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73"/>
        <w:gridCol w:w="4995"/>
      </w:tblGrid>
      <w:tr>
        <w:tblPrEx>
          <w:tblBorders>
            <w:top w:val="outset" w:color="ECECEC" w:sz="6" w:space="0"/>
            <w:left w:val="outset" w:color="ECECEC" w:sz="6" w:space="0"/>
            <w:bottom w:val="outset" w:color="ECECEC" w:sz="6" w:space="0"/>
            <w:right w:val="outset" w:color="ECECE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073" w:type="dxa"/>
            <w:tcBorders>
              <w:bottom w:val="single" w:color="ECECEC" w:sz="6" w:space="0"/>
            </w:tcBorders>
            <w:noWrap w:val="0"/>
            <w:tcMar>
              <w:top w:w="105" w:type="dxa"/>
              <w:left w:w="150" w:type="dxa"/>
              <w:bottom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spacing w:line="20" w:lineRule="atLeast"/>
              <w:jc w:val="left"/>
              <w:rPr>
                <w:rFonts w:hint="default" w:asciiTheme="minorAscii" w:hAnsiTheme="minorAscii"/>
                <w:b/>
                <w:bCs/>
                <w:color w:val="888888"/>
                <w:sz w:val="21"/>
                <w:szCs w:val="21"/>
              </w:rPr>
            </w:pPr>
            <w:r>
              <w:rPr>
                <w:rStyle w:val="11"/>
                <w:rFonts w:hint="default" w:eastAsia="宋体" w:cs="宋体" w:asciiTheme="minorAscii" w:hAnsiTheme="minorAscii"/>
                <w:b/>
                <w:bCs/>
                <w:color w:val="888888"/>
                <w:kern w:val="0"/>
                <w:sz w:val="21"/>
                <w:szCs w:val="21"/>
                <w:lang w:val="en-US" w:eastAsia="zh-CN" w:bidi="ar"/>
              </w:rPr>
              <w:t>Items</w:t>
            </w:r>
          </w:p>
        </w:tc>
        <w:tc>
          <w:tcPr>
            <w:tcW w:w="4995" w:type="dxa"/>
            <w:tcBorders>
              <w:bottom w:val="single" w:color="ECECEC" w:sz="6" w:space="0"/>
            </w:tcBorders>
            <w:noWrap w:val="0"/>
            <w:tcMar>
              <w:top w:w="105" w:type="dxa"/>
              <w:left w:w="105" w:type="dxa"/>
              <w:bottom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spacing w:line="20" w:lineRule="atLeast"/>
              <w:jc w:val="left"/>
              <w:rPr>
                <w:rFonts w:hint="default" w:asciiTheme="minorAscii" w:hAnsiTheme="minorAscii"/>
                <w:b/>
                <w:bCs/>
                <w:color w:val="888888"/>
                <w:sz w:val="21"/>
                <w:szCs w:val="21"/>
              </w:rPr>
            </w:pPr>
            <w:r>
              <w:rPr>
                <w:rStyle w:val="11"/>
                <w:rFonts w:hint="default" w:eastAsia="宋体" w:cs="宋体" w:asciiTheme="minorAscii" w:hAnsiTheme="minorAscii"/>
                <w:b/>
                <w:bCs/>
                <w:color w:val="888888"/>
                <w:kern w:val="0"/>
                <w:sz w:val="21"/>
                <w:szCs w:val="21"/>
                <w:lang w:val="en-US" w:eastAsia="zh-CN" w:bidi="ar"/>
              </w:rPr>
              <w:t>Specification</w:t>
            </w:r>
          </w:p>
        </w:tc>
      </w:tr>
      <w:tr>
        <w:tblPrEx>
          <w:tblBorders>
            <w:top w:val="outset" w:color="ECECEC" w:sz="6" w:space="0"/>
            <w:left w:val="outset" w:color="ECECEC" w:sz="6" w:space="0"/>
            <w:bottom w:val="outset" w:color="ECECEC" w:sz="6" w:space="0"/>
            <w:right w:val="outset" w:color="ECECE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073" w:type="dxa"/>
            <w:tcBorders>
              <w:bottom w:val="single" w:color="ECECEC" w:sz="6" w:space="0"/>
            </w:tcBorders>
            <w:noWrap w:val="0"/>
            <w:tcMar>
              <w:top w:w="105" w:type="dxa"/>
              <w:left w:w="150" w:type="dxa"/>
              <w:bottom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spacing w:line="20" w:lineRule="atLeast"/>
              <w:jc w:val="left"/>
              <w:rPr>
                <w:rFonts w:hint="default" w:asciiTheme="minorAscii" w:hAnsiTheme="minorAscii"/>
                <w:b/>
                <w:bCs/>
                <w:color w:val="888888"/>
                <w:sz w:val="21"/>
                <w:szCs w:val="21"/>
              </w:rPr>
            </w:pPr>
            <w:r>
              <w:rPr>
                <w:rFonts w:hint="default" w:eastAsia="宋体" w:cs="宋体" w:asciiTheme="minorAscii" w:hAnsiTheme="minorAscii"/>
                <w:b/>
                <w:bCs/>
                <w:color w:val="888888"/>
                <w:kern w:val="0"/>
                <w:sz w:val="21"/>
                <w:szCs w:val="21"/>
                <w:lang w:val="en-US" w:eastAsia="zh-CN" w:bidi="ar"/>
              </w:rPr>
              <w:t>Form</w:t>
            </w:r>
          </w:p>
        </w:tc>
        <w:tc>
          <w:tcPr>
            <w:tcW w:w="4995" w:type="dxa"/>
            <w:tcBorders>
              <w:bottom w:val="single" w:color="ECECEC" w:sz="6" w:space="0"/>
            </w:tcBorders>
            <w:noWrap w:val="0"/>
            <w:tcMar>
              <w:top w:w="105" w:type="dxa"/>
              <w:left w:w="105" w:type="dxa"/>
              <w:bottom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spacing w:line="20" w:lineRule="atLeast"/>
              <w:jc w:val="left"/>
              <w:rPr>
                <w:rFonts w:hint="default" w:asciiTheme="minorAscii" w:hAnsiTheme="minorAscii"/>
                <w:b/>
                <w:bCs/>
                <w:color w:val="888888"/>
                <w:sz w:val="21"/>
                <w:szCs w:val="21"/>
              </w:rPr>
            </w:pPr>
            <w:r>
              <w:rPr>
                <w:rFonts w:hint="default" w:eastAsia="宋体" w:cs="宋体" w:asciiTheme="minorAscii" w:hAnsiTheme="minorAscii"/>
                <w:b/>
                <w:bCs/>
                <w:color w:val="888888"/>
                <w:kern w:val="0"/>
                <w:sz w:val="21"/>
                <w:szCs w:val="21"/>
                <w:lang w:val="en-US" w:eastAsia="zh-CN" w:bidi="ar"/>
              </w:rPr>
              <w:t>Liquid</w:t>
            </w:r>
          </w:p>
        </w:tc>
      </w:tr>
      <w:tr>
        <w:tblPrEx>
          <w:tblBorders>
            <w:top w:val="outset" w:color="ECECEC" w:sz="6" w:space="0"/>
            <w:left w:val="outset" w:color="ECECEC" w:sz="6" w:space="0"/>
            <w:bottom w:val="outset" w:color="ECECEC" w:sz="6" w:space="0"/>
            <w:right w:val="outset" w:color="ECECE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073" w:type="dxa"/>
            <w:tcBorders>
              <w:bottom w:val="single" w:color="ECECEC" w:sz="6" w:space="0"/>
            </w:tcBorders>
            <w:noWrap w:val="0"/>
            <w:tcMar>
              <w:top w:w="105" w:type="dxa"/>
              <w:left w:w="150" w:type="dxa"/>
              <w:bottom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spacing w:line="20" w:lineRule="atLeast"/>
              <w:jc w:val="left"/>
              <w:rPr>
                <w:rFonts w:hint="default" w:asciiTheme="minorAscii" w:hAnsiTheme="minorAscii"/>
                <w:b/>
                <w:bCs/>
                <w:color w:val="888888"/>
                <w:sz w:val="21"/>
                <w:szCs w:val="21"/>
              </w:rPr>
            </w:pPr>
            <w:r>
              <w:rPr>
                <w:rFonts w:hint="default" w:eastAsia="宋体" w:cs="宋体" w:asciiTheme="minorAscii" w:hAnsiTheme="minorAscii"/>
                <w:b/>
                <w:bCs/>
                <w:color w:val="888888"/>
                <w:kern w:val="0"/>
                <w:sz w:val="21"/>
                <w:szCs w:val="21"/>
                <w:lang w:val="en-US" w:eastAsia="zh-CN" w:bidi="ar"/>
              </w:rPr>
              <w:t>Visual Appearance</w:t>
            </w:r>
          </w:p>
        </w:tc>
        <w:tc>
          <w:tcPr>
            <w:tcW w:w="4995" w:type="dxa"/>
            <w:tcBorders>
              <w:bottom w:val="single" w:color="ECECEC" w:sz="6" w:space="0"/>
            </w:tcBorders>
            <w:noWrap w:val="0"/>
            <w:tcMar>
              <w:top w:w="105" w:type="dxa"/>
              <w:left w:w="105" w:type="dxa"/>
              <w:bottom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spacing w:line="20" w:lineRule="atLeast"/>
              <w:jc w:val="left"/>
              <w:rPr>
                <w:rFonts w:hint="default" w:asciiTheme="minorAscii" w:hAnsiTheme="minorAscii"/>
                <w:b/>
                <w:bCs/>
                <w:color w:val="888888"/>
                <w:sz w:val="21"/>
                <w:szCs w:val="21"/>
              </w:rPr>
            </w:pPr>
            <w:r>
              <w:rPr>
                <w:rFonts w:hint="default" w:eastAsia="宋体" w:cs="宋体" w:asciiTheme="minorAscii" w:hAnsiTheme="minorAscii"/>
                <w:b/>
                <w:bCs/>
                <w:color w:val="888888"/>
                <w:kern w:val="0"/>
                <w:sz w:val="21"/>
                <w:szCs w:val="21"/>
                <w:lang w:val="en-US" w:eastAsia="zh-CN" w:bidi="ar"/>
              </w:rPr>
              <w:t>Beige</w:t>
            </w:r>
          </w:p>
        </w:tc>
      </w:tr>
      <w:tr>
        <w:tblPrEx>
          <w:tblBorders>
            <w:top w:val="outset" w:color="ECECEC" w:sz="6" w:space="0"/>
            <w:left w:val="outset" w:color="ECECEC" w:sz="6" w:space="0"/>
            <w:bottom w:val="outset" w:color="ECECEC" w:sz="6" w:space="0"/>
            <w:right w:val="outset" w:color="ECECE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073" w:type="dxa"/>
            <w:tcBorders>
              <w:bottom w:val="single" w:color="ECECEC" w:sz="6" w:space="0"/>
            </w:tcBorders>
            <w:noWrap w:val="0"/>
            <w:tcMar>
              <w:top w:w="105" w:type="dxa"/>
              <w:left w:w="150" w:type="dxa"/>
              <w:bottom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spacing w:line="20" w:lineRule="atLeast"/>
              <w:jc w:val="left"/>
              <w:rPr>
                <w:rFonts w:hint="default" w:asciiTheme="minorAscii" w:hAnsiTheme="minorAscii"/>
                <w:b/>
                <w:bCs/>
                <w:color w:val="888888"/>
                <w:sz w:val="21"/>
                <w:szCs w:val="21"/>
              </w:rPr>
            </w:pPr>
            <w:r>
              <w:rPr>
                <w:rFonts w:hint="default" w:eastAsia="宋体" w:cs="宋体" w:asciiTheme="minorAscii" w:hAnsiTheme="minorAscii"/>
                <w:b/>
                <w:bCs/>
                <w:color w:val="888888"/>
                <w:kern w:val="0"/>
                <w:sz w:val="21"/>
                <w:szCs w:val="21"/>
                <w:lang w:val="en-US" w:eastAsia="zh-CN" w:bidi="ar"/>
              </w:rPr>
              <w:t>Density (+20℃)</w:t>
            </w:r>
          </w:p>
        </w:tc>
        <w:tc>
          <w:tcPr>
            <w:tcW w:w="4995" w:type="dxa"/>
            <w:tcBorders>
              <w:bottom w:val="single" w:color="ECECEC" w:sz="6" w:space="0"/>
            </w:tcBorders>
            <w:noWrap w:val="0"/>
            <w:tcMar>
              <w:top w:w="105" w:type="dxa"/>
              <w:left w:w="105" w:type="dxa"/>
              <w:bottom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spacing w:line="20" w:lineRule="atLeast"/>
              <w:jc w:val="left"/>
              <w:rPr>
                <w:rFonts w:hint="default" w:asciiTheme="minorAscii" w:hAnsiTheme="minorAscii"/>
                <w:b/>
                <w:bCs/>
                <w:color w:val="888888"/>
                <w:sz w:val="21"/>
                <w:szCs w:val="21"/>
              </w:rPr>
            </w:pPr>
            <w:r>
              <w:rPr>
                <w:rFonts w:hint="default" w:eastAsia="宋体" w:cs="宋体" w:asciiTheme="minorAscii" w:hAnsiTheme="minorAscii"/>
                <w:b/>
                <w:bCs/>
                <w:color w:val="888888"/>
                <w:kern w:val="0"/>
                <w:sz w:val="21"/>
                <w:szCs w:val="21"/>
                <w:lang w:val="en-US" w:eastAsia="zh-CN" w:bidi="ar"/>
              </w:rPr>
              <w:t>1.43 ±0.03g/ml</w:t>
            </w:r>
          </w:p>
        </w:tc>
      </w:tr>
      <w:tr>
        <w:tblPrEx>
          <w:tblBorders>
            <w:top w:val="outset" w:color="ECECEC" w:sz="6" w:space="0"/>
            <w:left w:val="outset" w:color="ECECEC" w:sz="6" w:space="0"/>
            <w:bottom w:val="outset" w:color="ECECEC" w:sz="6" w:space="0"/>
            <w:right w:val="outset" w:color="ECECE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073" w:type="dxa"/>
            <w:tcBorders>
              <w:bottom w:val="single" w:color="ECECEC" w:sz="6" w:space="0"/>
            </w:tcBorders>
            <w:noWrap w:val="0"/>
            <w:tcMar>
              <w:top w:w="105" w:type="dxa"/>
              <w:left w:w="150" w:type="dxa"/>
              <w:bottom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spacing w:line="20" w:lineRule="atLeast"/>
              <w:jc w:val="left"/>
              <w:rPr>
                <w:rFonts w:hint="default" w:asciiTheme="minorAscii" w:hAnsiTheme="minorAscii"/>
                <w:b/>
                <w:bCs/>
                <w:color w:val="888888"/>
                <w:sz w:val="21"/>
                <w:szCs w:val="21"/>
              </w:rPr>
            </w:pPr>
            <w:r>
              <w:rPr>
                <w:rFonts w:hint="default" w:eastAsia="宋体" w:cs="宋体" w:asciiTheme="minorAscii" w:hAnsiTheme="minorAscii"/>
                <w:b/>
                <w:bCs/>
                <w:color w:val="888888"/>
                <w:kern w:val="0"/>
                <w:sz w:val="21"/>
                <w:szCs w:val="21"/>
                <w:lang w:val="en-US" w:eastAsia="zh-CN" w:bidi="ar"/>
              </w:rPr>
              <w:t>pH value (1:1 water solution)</w:t>
            </w:r>
          </w:p>
        </w:tc>
        <w:tc>
          <w:tcPr>
            <w:tcW w:w="4995" w:type="dxa"/>
            <w:tcBorders>
              <w:bottom w:val="single" w:color="ECECEC" w:sz="6" w:space="0"/>
            </w:tcBorders>
            <w:noWrap w:val="0"/>
            <w:tcMar>
              <w:top w:w="105" w:type="dxa"/>
              <w:left w:w="105" w:type="dxa"/>
              <w:bottom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spacing w:line="20" w:lineRule="atLeast"/>
              <w:jc w:val="left"/>
              <w:rPr>
                <w:rFonts w:hint="default" w:asciiTheme="minorAscii" w:hAnsiTheme="minorAscii"/>
                <w:b/>
                <w:bCs/>
                <w:color w:val="888888"/>
                <w:sz w:val="21"/>
                <w:szCs w:val="21"/>
              </w:rPr>
            </w:pPr>
            <w:r>
              <w:rPr>
                <w:rFonts w:hint="default" w:eastAsia="宋体" w:cs="宋体" w:asciiTheme="minorAscii" w:hAnsiTheme="minorAscii"/>
                <w:b/>
                <w:bCs/>
                <w:color w:val="888888"/>
                <w:kern w:val="0"/>
                <w:sz w:val="21"/>
                <w:szCs w:val="21"/>
                <w:lang w:val="en-US" w:eastAsia="zh-CN" w:bidi="ar"/>
              </w:rPr>
              <w:t>2.6±0.5</w:t>
            </w:r>
          </w:p>
        </w:tc>
      </w:tr>
      <w:tr>
        <w:tblPrEx>
          <w:tblBorders>
            <w:top w:val="outset" w:color="ECECEC" w:sz="6" w:space="0"/>
            <w:left w:val="outset" w:color="ECECEC" w:sz="6" w:space="0"/>
            <w:bottom w:val="outset" w:color="ECECEC" w:sz="6" w:space="0"/>
            <w:right w:val="outset" w:color="ECECE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073" w:type="dxa"/>
            <w:tcBorders>
              <w:bottom w:val="single" w:color="ECECEC" w:sz="6" w:space="0"/>
            </w:tcBorders>
            <w:noWrap w:val="0"/>
            <w:tcMar>
              <w:top w:w="105" w:type="dxa"/>
              <w:left w:w="150" w:type="dxa"/>
              <w:bottom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spacing w:line="20" w:lineRule="atLeast"/>
              <w:jc w:val="left"/>
              <w:rPr>
                <w:rFonts w:hint="default" w:asciiTheme="minorAscii" w:hAnsiTheme="minorAscii"/>
                <w:b/>
                <w:bCs/>
                <w:color w:val="888888"/>
                <w:sz w:val="21"/>
                <w:szCs w:val="21"/>
              </w:rPr>
            </w:pPr>
            <w:r>
              <w:rPr>
                <w:rFonts w:hint="default" w:eastAsia="宋体" w:cs="宋体" w:asciiTheme="minorAscii" w:hAnsiTheme="minorAscii"/>
                <w:b/>
                <w:bCs/>
                <w:color w:val="888888"/>
                <w:kern w:val="0"/>
                <w:sz w:val="21"/>
                <w:szCs w:val="21"/>
                <w:lang w:val="en-US" w:eastAsia="zh-CN" w:bidi="ar"/>
              </w:rPr>
              <w:t>Viscosity</w:t>
            </w:r>
          </w:p>
        </w:tc>
        <w:tc>
          <w:tcPr>
            <w:tcW w:w="4995" w:type="dxa"/>
            <w:tcBorders>
              <w:bottom w:val="single" w:color="ECECEC" w:sz="6" w:space="0"/>
            </w:tcBorders>
            <w:noWrap w:val="0"/>
            <w:tcMar>
              <w:top w:w="105" w:type="dxa"/>
              <w:left w:w="105" w:type="dxa"/>
              <w:bottom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spacing w:line="20" w:lineRule="atLeast"/>
              <w:jc w:val="left"/>
              <w:rPr>
                <w:rFonts w:hint="default" w:asciiTheme="minorAscii" w:hAnsiTheme="minorAscii"/>
                <w:b/>
                <w:bCs/>
                <w:color w:val="888888"/>
                <w:sz w:val="21"/>
                <w:szCs w:val="21"/>
              </w:rPr>
            </w:pPr>
            <w:r>
              <w:rPr>
                <w:rFonts w:hint="default" w:eastAsia="宋体" w:cs="宋体" w:asciiTheme="minorAscii" w:hAnsiTheme="minorAscii"/>
                <w:b/>
                <w:bCs/>
                <w:color w:val="888888"/>
                <w:kern w:val="0"/>
                <w:sz w:val="21"/>
                <w:szCs w:val="21"/>
                <w:lang w:val="en-US" w:eastAsia="zh-CN" w:bidi="ar"/>
              </w:rPr>
              <w:t>＞400mPa.s</w:t>
            </w:r>
          </w:p>
        </w:tc>
      </w:tr>
      <w:tr>
        <w:tblPrEx>
          <w:tblBorders>
            <w:top w:val="outset" w:color="ECECEC" w:sz="6" w:space="0"/>
            <w:left w:val="outset" w:color="ECECEC" w:sz="6" w:space="0"/>
            <w:bottom w:val="outset" w:color="ECECEC" w:sz="6" w:space="0"/>
            <w:right w:val="outset" w:color="ECECE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073" w:type="dxa"/>
            <w:tcBorders>
              <w:bottom w:val="single" w:color="ECECEC" w:sz="6" w:space="0"/>
            </w:tcBorders>
            <w:noWrap w:val="0"/>
            <w:tcMar>
              <w:top w:w="105" w:type="dxa"/>
              <w:left w:w="150" w:type="dxa"/>
              <w:bottom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spacing w:line="20" w:lineRule="atLeast"/>
              <w:jc w:val="left"/>
              <w:rPr>
                <w:rFonts w:hint="default" w:asciiTheme="minorAscii" w:hAnsiTheme="minorAscii"/>
                <w:b/>
                <w:bCs/>
                <w:color w:val="888888"/>
                <w:sz w:val="21"/>
                <w:szCs w:val="21"/>
              </w:rPr>
            </w:pPr>
            <w:r>
              <w:rPr>
                <w:rFonts w:hint="default" w:eastAsia="宋体" w:cs="宋体" w:asciiTheme="minorAscii" w:hAnsiTheme="minorAscii"/>
                <w:b/>
                <w:bCs/>
                <w:color w:val="888888"/>
                <w:kern w:val="0"/>
                <w:sz w:val="21"/>
                <w:szCs w:val="21"/>
                <w:lang w:val="en-US" w:eastAsia="zh-CN" w:bidi="ar"/>
              </w:rPr>
              <w:t>Thermal stability</w:t>
            </w:r>
          </w:p>
        </w:tc>
        <w:tc>
          <w:tcPr>
            <w:tcW w:w="4995" w:type="dxa"/>
            <w:tcBorders>
              <w:bottom w:val="single" w:color="ECECEC" w:sz="6" w:space="0"/>
            </w:tcBorders>
            <w:noWrap w:val="0"/>
            <w:tcMar>
              <w:top w:w="105" w:type="dxa"/>
              <w:left w:w="105" w:type="dxa"/>
              <w:bottom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spacing w:line="20" w:lineRule="atLeast"/>
              <w:jc w:val="left"/>
              <w:rPr>
                <w:rFonts w:hint="default" w:asciiTheme="minorAscii" w:hAnsiTheme="minorAscii"/>
                <w:b/>
                <w:bCs/>
                <w:color w:val="888888"/>
                <w:sz w:val="21"/>
                <w:szCs w:val="21"/>
              </w:rPr>
            </w:pPr>
            <w:r>
              <w:rPr>
                <w:rFonts w:hint="default" w:eastAsia="宋体" w:cs="宋体" w:asciiTheme="minorAscii" w:hAnsiTheme="minorAscii"/>
                <w:b/>
                <w:bCs/>
                <w:color w:val="888888"/>
                <w:kern w:val="0"/>
                <w:sz w:val="21"/>
                <w:szCs w:val="21"/>
                <w:lang w:val="en-US" w:eastAsia="zh-CN" w:bidi="ar"/>
              </w:rPr>
              <w:t>+5℃ to +35℃</w:t>
            </w:r>
          </w:p>
        </w:tc>
      </w:tr>
      <w:tr>
        <w:tblPrEx>
          <w:tblBorders>
            <w:top w:val="outset" w:color="ECECEC" w:sz="6" w:space="0"/>
            <w:left w:val="outset" w:color="ECECEC" w:sz="6" w:space="0"/>
            <w:bottom w:val="outset" w:color="ECECEC" w:sz="6" w:space="0"/>
            <w:right w:val="outset" w:color="ECECE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073" w:type="dxa"/>
            <w:tcBorders>
              <w:bottom w:val="single" w:color="ECECEC" w:sz="6" w:space="0"/>
            </w:tcBorders>
            <w:noWrap w:val="0"/>
            <w:tcMar>
              <w:top w:w="105" w:type="dxa"/>
              <w:left w:w="150" w:type="dxa"/>
              <w:bottom w:w="105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spacing w:line="20" w:lineRule="atLeast"/>
              <w:jc w:val="left"/>
              <w:rPr>
                <w:rFonts w:hint="default" w:asciiTheme="minorAscii" w:hAnsiTheme="minorAscii"/>
                <w:b/>
                <w:bCs/>
                <w:color w:val="888888"/>
                <w:sz w:val="21"/>
                <w:szCs w:val="21"/>
              </w:rPr>
            </w:pPr>
            <w:r>
              <w:rPr>
                <w:rFonts w:hint="default" w:eastAsia="宋体" w:cs="宋体" w:asciiTheme="minorAscii" w:hAnsiTheme="minorAscii"/>
                <w:b/>
                <w:bCs/>
                <w:color w:val="888888"/>
                <w:kern w:val="0"/>
                <w:sz w:val="21"/>
                <w:szCs w:val="21"/>
                <w:lang w:val="en-US" w:eastAsia="zh-CN" w:bidi="ar"/>
              </w:rPr>
              <w:t>Chloride</w:t>
            </w:r>
          </w:p>
        </w:tc>
        <w:tc>
          <w:tcPr>
            <w:tcW w:w="4995" w:type="dxa"/>
            <w:tcBorders>
              <w:bottom w:val="single" w:color="ECECEC" w:sz="6" w:space="0"/>
            </w:tcBorders>
            <w:noWrap w:val="0"/>
            <w:tcMar>
              <w:top w:w="105" w:type="dxa"/>
              <w:left w:w="105" w:type="dxa"/>
              <w:bottom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spacing w:line="20" w:lineRule="atLeast"/>
              <w:jc w:val="left"/>
              <w:rPr>
                <w:rFonts w:hint="default" w:asciiTheme="minorAscii" w:hAnsiTheme="minorAscii"/>
                <w:b/>
                <w:bCs/>
                <w:color w:val="888888"/>
                <w:sz w:val="21"/>
                <w:szCs w:val="21"/>
              </w:rPr>
            </w:pPr>
            <w:r>
              <w:rPr>
                <w:rFonts w:hint="default" w:eastAsia="宋体" w:cs="宋体" w:asciiTheme="minorAscii" w:hAnsiTheme="minorAscii"/>
                <w:b/>
                <w:bCs/>
                <w:color w:val="888888"/>
                <w:kern w:val="0"/>
                <w:sz w:val="21"/>
                <w:szCs w:val="21"/>
                <w:lang w:val="en-US" w:eastAsia="zh-CN" w:bidi="ar"/>
              </w:rPr>
              <w:t>Free</w:t>
            </w:r>
          </w:p>
        </w:tc>
      </w:tr>
      <w:tr>
        <w:tblPrEx>
          <w:tblBorders>
            <w:top w:val="outset" w:color="ECECEC" w:sz="6" w:space="0"/>
            <w:left w:val="outset" w:color="ECECEC" w:sz="6" w:space="0"/>
            <w:bottom w:val="outset" w:color="ECECEC" w:sz="6" w:space="0"/>
            <w:right w:val="outset" w:color="ECECEC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068" w:type="dxa"/>
            <w:gridSpan w:val="2"/>
            <w:tcBorders>
              <w:bottom w:val="single" w:color="ECECEC" w:sz="6" w:space="0"/>
            </w:tcBorders>
            <w:noWrap w:val="0"/>
            <w:tcMar>
              <w:top w:w="105" w:type="dxa"/>
              <w:left w:w="150" w:type="dxa"/>
              <w:bottom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bidi w:val="0"/>
              <w:spacing w:line="20" w:lineRule="atLeast"/>
              <w:jc w:val="left"/>
              <w:rPr>
                <w:rFonts w:hint="default" w:asciiTheme="minorAscii" w:hAnsiTheme="minorAscii"/>
                <w:b/>
                <w:bCs/>
                <w:color w:val="888888"/>
                <w:sz w:val="21"/>
                <w:szCs w:val="21"/>
              </w:rPr>
            </w:pPr>
            <w:r>
              <w:rPr>
                <w:rFonts w:hint="default" w:eastAsia="宋体" w:cs="宋体" w:asciiTheme="minorAscii" w:hAnsiTheme="minorAscii"/>
                <w:b/>
                <w:bCs/>
                <w:color w:val="888888"/>
                <w:kern w:val="0"/>
                <w:sz w:val="21"/>
                <w:szCs w:val="21"/>
                <w:lang w:val="en-US" w:eastAsia="zh-CN" w:bidi="ar"/>
              </w:rPr>
              <w:t>Recommended addition rate: 3% to 8%.of cement quantity</w:t>
            </w:r>
          </w:p>
        </w:tc>
      </w:tr>
    </w:tbl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100" w:beforeAutospacing="1" w:after="126" w:afterAutospacing="0"/>
        <w:ind w:left="360" w:leftChars="0" w:hanging="360" w:firstLineChars="0"/>
        <w:rPr>
          <w:rFonts w:hint="default" w:ascii="Calibri" w:hAnsi="Calibri" w:cs="Calibri"/>
        </w:rPr>
      </w:pPr>
      <w:r>
        <w:rPr>
          <w:rFonts w:hint="default" w:ascii="Calibri" w:hAnsi="Calibri" w:eastAsia="sans-serif" w:cs="Calibri"/>
          <w:i w:val="0"/>
          <w:iCs w:val="0"/>
          <w:caps w:val="0"/>
          <w:color w:val="333333"/>
          <w:spacing w:val="0"/>
          <w:sz w:val="27"/>
          <w:szCs w:val="27"/>
          <w:shd w:val="clear" w:color="auto" w:fill="FFFFFF"/>
        </w:rPr>
        <w:t>Very low dust production with good working environment.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before="100" w:beforeAutospacing="1" w:after="126" w:afterAutospacing="0"/>
        <w:ind w:left="360" w:leftChars="0" w:hanging="360" w:firstLineChars="0"/>
      </w:pPr>
      <w:r>
        <w:rPr>
          <w:rFonts w:hint="default" w:ascii="Calibri" w:hAnsi="Calibri" w:eastAsia="sans-serif" w:cs="Calibri"/>
          <w:i w:val="0"/>
          <w:iCs w:val="0"/>
          <w:caps w:val="0"/>
          <w:color w:val="333333"/>
          <w:spacing w:val="0"/>
          <w:sz w:val="27"/>
          <w:szCs w:val="27"/>
          <w:shd w:val="clear" w:color="auto" w:fill="FFFFFF"/>
        </w:rPr>
        <w:t>Lower handling cost.</w:t>
      </w:r>
    </w:p>
    <w:p>
      <w:pPr>
        <w:pStyle w:val="4"/>
        <w:keepNext w:val="0"/>
        <w:keepLines w:val="0"/>
        <w:widowControl/>
        <w:suppressLineNumbers w:val="0"/>
        <w:shd w:val="clear" w:color="auto" w:fill="FFFFFF"/>
        <w:spacing w:before="0" w:beforeAutospacing="0" w:after="105" w:afterAutospacing="0"/>
        <w:ind w:left="0" w:firstLine="0"/>
        <w:rPr>
          <w:rFonts w:hint="default" w:ascii="Calibri" w:hAnsi="Calibri" w:eastAsia="sans-serif" w:cs="Calibri"/>
          <w:b/>
          <w:bCs/>
          <w:i w:val="0"/>
          <w:iCs w:val="0"/>
          <w:caps w:val="0"/>
          <w:color w:val="555555"/>
          <w:spacing w:val="0"/>
          <w:sz w:val="40"/>
          <w:szCs w:val="40"/>
        </w:rPr>
      </w:pPr>
      <w:r>
        <w:rPr>
          <w:rFonts w:hint="default" w:ascii="Calibri" w:hAnsi="Calibri" w:eastAsia="sans-serif" w:cs="Calibri"/>
          <w:b/>
          <w:bCs/>
          <w:i w:val="0"/>
          <w:iCs w:val="0"/>
          <w:caps w:val="0"/>
          <w:color w:val="555555"/>
          <w:spacing w:val="0"/>
          <w:sz w:val="40"/>
          <w:szCs w:val="40"/>
          <w:shd w:val="clear" w:color="auto" w:fill="FFFFFF"/>
        </w:rPr>
        <w:t>Technical Data Sheet</w:t>
      </w:r>
    </w:p>
    <w:p>
      <w:pPr>
        <w:pStyle w:val="4"/>
        <w:keepNext w:val="0"/>
        <w:keepLines w:val="0"/>
        <w:widowControl/>
        <w:suppressLineNumbers w:val="0"/>
        <w:shd w:val="clear" w:color="auto" w:fill="FFFFFF"/>
        <w:spacing w:before="0" w:beforeAutospacing="0" w:after="105" w:afterAutospacing="0"/>
        <w:ind w:left="0" w:firstLine="0"/>
        <w:rPr>
          <w:rFonts w:hint="default" w:ascii="Calibri" w:hAnsi="Calibri" w:eastAsia="sans-serif" w:cs="Calibri"/>
          <w:b/>
          <w:bCs/>
          <w:i w:val="0"/>
          <w:iCs w:val="0"/>
          <w:caps w:val="0"/>
          <w:color w:val="555555"/>
          <w:spacing w:val="0"/>
          <w:sz w:val="23"/>
          <w:szCs w:val="23"/>
          <w:shd w:val="clear" w:color="auto" w:fill="FFFFFF"/>
        </w:rPr>
      </w:pPr>
    </w:p>
    <w:p>
      <w:pPr>
        <w:pStyle w:val="4"/>
        <w:keepNext w:val="0"/>
        <w:keepLines w:val="0"/>
        <w:widowControl/>
        <w:suppressLineNumbers w:val="0"/>
        <w:shd w:val="clear" w:color="auto" w:fill="FFFFFF"/>
        <w:spacing w:before="0" w:beforeAutospacing="0" w:after="105" w:afterAutospacing="0"/>
        <w:ind w:left="0" w:firstLine="0"/>
        <w:rPr>
          <w:rFonts w:hint="default" w:ascii="Calibri" w:hAnsi="Calibri" w:eastAsia="sans-serif" w:cs="Calibri"/>
          <w:b/>
          <w:bCs/>
          <w:i w:val="0"/>
          <w:iCs w:val="0"/>
          <w:caps w:val="0"/>
          <w:color w:val="555555"/>
          <w:spacing w:val="0"/>
          <w:sz w:val="23"/>
          <w:szCs w:val="23"/>
          <w:shd w:val="clear" w:color="auto" w:fill="FFFFFF"/>
        </w:rPr>
      </w:pPr>
    </w:p>
    <w:p>
      <w:pPr>
        <w:pStyle w:val="4"/>
        <w:keepNext w:val="0"/>
        <w:keepLines w:val="0"/>
        <w:widowControl/>
        <w:suppressLineNumbers w:val="0"/>
        <w:shd w:val="clear" w:color="auto" w:fill="FFFFFF"/>
        <w:spacing w:before="0" w:beforeAutospacing="0" w:after="105" w:afterAutospacing="0"/>
        <w:ind w:left="0" w:firstLine="0"/>
        <w:rPr>
          <w:rFonts w:hint="default" w:ascii="Calibri" w:hAnsi="Calibri" w:eastAsia="sans-serif" w:cs="Calibri"/>
          <w:b/>
          <w:bCs/>
          <w:i w:val="0"/>
          <w:iCs w:val="0"/>
          <w:caps w:val="0"/>
          <w:color w:val="555555"/>
          <w:spacing w:val="0"/>
          <w:sz w:val="40"/>
          <w:szCs w:val="40"/>
        </w:rPr>
      </w:pPr>
      <w:r>
        <w:rPr>
          <w:rFonts w:hint="default" w:ascii="Calibri" w:hAnsi="Calibri" w:eastAsia="sans-serif" w:cs="Calibri"/>
          <w:b/>
          <w:bCs/>
          <w:i w:val="0"/>
          <w:iCs w:val="0"/>
          <w:caps w:val="0"/>
          <w:color w:val="555555"/>
          <w:spacing w:val="0"/>
          <w:sz w:val="40"/>
          <w:szCs w:val="40"/>
          <w:shd w:val="clear" w:color="auto" w:fill="FFFFFF"/>
        </w:rPr>
        <w:t>Storage</w:t>
      </w:r>
    </w:p>
    <w:p>
      <w:pPr>
        <w:pStyle w:val="8"/>
        <w:keepNext w:val="0"/>
        <w:keepLines w:val="0"/>
        <w:widowControl/>
        <w:suppressLineNumbers w:val="0"/>
        <w:shd w:val="clear" w:color="auto" w:fill="FFFFFF"/>
        <w:spacing w:before="0" w:beforeAutospacing="0" w:after="273" w:afterAutospacing="0"/>
        <w:ind w:left="0" w:firstLine="0"/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cs="Calibri"/>
          <w:i w:val="0"/>
          <w:iCs w:val="0"/>
          <w:caps w:val="0"/>
          <w:color w:val="333333"/>
          <w:spacing w:val="0"/>
          <w:sz w:val="27"/>
          <w:szCs w:val="27"/>
          <w:shd w:val="clear" w:color="auto" w:fill="FFFFFF"/>
          <w:lang w:val="en-US" w:eastAsia="zh-CN"/>
        </w:rPr>
        <w:t>GQ-SN03</w:t>
      </w:r>
      <w:r>
        <w:rPr>
          <w:rFonts w:hint="default" w:ascii="Calibri" w:hAnsi="Calibri" w:eastAsia="sans-serif" w:cs="Calibri"/>
          <w:i w:val="0"/>
          <w:iCs w:val="0"/>
          <w:caps w:val="0"/>
          <w:color w:val="333333"/>
          <w:spacing w:val="0"/>
          <w:sz w:val="27"/>
          <w:szCs w:val="27"/>
          <w:shd w:val="clear" w:color="auto" w:fill="FFFFFF"/>
        </w:rPr>
        <w:t xml:space="preserve"> kept in closed containers which made of plastic, glass fiber or stainless steel.</w:t>
      </w:r>
      <w:r>
        <w:rPr>
          <w:rFonts w:hint="eastAsia" w:cs="Calibri"/>
          <w:i w:val="0"/>
          <w:iCs w:val="0"/>
          <w:caps w:val="0"/>
          <w:color w:val="333333"/>
          <w:spacing w:val="0"/>
          <w:sz w:val="27"/>
          <w:szCs w:val="27"/>
          <w:shd w:val="clear" w:color="auto" w:fill="FFFFFF"/>
          <w:lang w:val="en-US" w:eastAsia="zh-CN"/>
        </w:rPr>
        <w:t xml:space="preserve"> </w:t>
      </w:r>
      <w:r>
        <w:rPr>
          <w:rFonts w:hint="default" w:ascii="Calibri" w:hAnsi="Calibri" w:eastAsia="sans-serif" w:cs="Calibri"/>
          <w:i w:val="0"/>
          <w:iCs w:val="0"/>
          <w:caps w:val="0"/>
          <w:color w:val="333333"/>
          <w:spacing w:val="0"/>
          <w:sz w:val="27"/>
          <w:szCs w:val="27"/>
          <w:shd w:val="clear" w:color="auto" w:fill="FFFFFF"/>
        </w:rPr>
        <w:t xml:space="preserve">The container is 250kg per drum. </w:t>
      </w:r>
      <w:r>
        <w:rPr>
          <w:rFonts w:hint="eastAsia" w:cs="Calibri"/>
          <w:i w:val="0"/>
          <w:iCs w:val="0"/>
          <w:caps w:val="0"/>
          <w:color w:val="333333"/>
          <w:spacing w:val="0"/>
          <w:sz w:val="27"/>
          <w:szCs w:val="27"/>
          <w:shd w:val="clear" w:color="auto" w:fill="FFFFFF"/>
          <w:lang w:val="en-US" w:eastAsia="zh-CN"/>
        </w:rPr>
        <w:t xml:space="preserve">1000kg per IBC tank.    </w:t>
      </w:r>
      <w:r>
        <w:rPr>
          <w:rFonts w:hint="default" w:ascii="Calibri" w:hAnsi="Calibri" w:eastAsia="sans-serif" w:cs="Calibri"/>
          <w:i w:val="0"/>
          <w:iCs w:val="0"/>
          <w:caps w:val="0"/>
          <w:color w:val="333333"/>
          <w:spacing w:val="0"/>
          <w:sz w:val="27"/>
          <w:szCs w:val="27"/>
          <w:shd w:val="clear" w:color="auto" w:fill="FFFFFF"/>
        </w:rPr>
        <w:t>The shelf life is 8 months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7"/>
          <w:szCs w:val="27"/>
          <w:shd w:val="clear" w:color="auto" w:fill="FFFFFF"/>
        </w:rPr>
        <w:t>.</w:t>
      </w:r>
    </w:p>
    <w:p>
      <w:pPr>
        <w:pStyle w:val="8"/>
        <w:keepNext w:val="0"/>
        <w:keepLines w:val="0"/>
        <w:widowControl/>
        <w:suppressLineNumbers w:val="0"/>
        <w:shd w:val="clear" w:color="auto" w:fill="FFFFFF"/>
        <w:spacing w:before="0" w:beforeAutospacing="0" w:after="273" w:afterAutospacing="0"/>
        <w:ind w:left="0" w:firstLine="0"/>
        <w:rPr>
          <w:rFonts w:hint="eastAsia" w:ascii="sans-serif" w:hAnsi="sans-serif" w:eastAsia="宋体" w:cs="sans-serif"/>
          <w:i w:val="0"/>
          <w:iCs w:val="0"/>
          <w:caps w:val="0"/>
          <w:color w:val="333333"/>
          <w:spacing w:val="0"/>
          <w:sz w:val="27"/>
          <w:szCs w:val="27"/>
          <w:lang w:eastAsia="zh-CN"/>
        </w:rPr>
      </w:pPr>
      <w:r>
        <w:rPr>
          <w:rFonts w:hint="eastAsia" w:ascii="sans-serif" w:hAnsi="sans-serif" w:eastAsia="宋体" w:cs="sans-serif"/>
          <w:i w:val="0"/>
          <w:iCs w:val="0"/>
          <w:caps w:val="0"/>
          <w:color w:val="333333"/>
          <w:spacing w:val="0"/>
          <w:sz w:val="27"/>
          <w:szCs w:val="27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2409825</wp:posOffset>
            </wp:positionH>
            <wp:positionV relativeFrom="page">
              <wp:posOffset>3263265</wp:posOffset>
            </wp:positionV>
            <wp:extent cx="2054860" cy="1541145"/>
            <wp:effectExtent l="0" t="0" r="2540" b="1905"/>
            <wp:wrapNone/>
            <wp:docPr id="5" name="图片 5" descr="20142710-Lightening-the-load-deBatti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142710-Lightening-the-load-deBattist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4860" cy="1541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sans-serif" w:hAnsi="sans-serif" w:eastAsia="宋体" w:cs="sans-serif"/>
          <w:i w:val="0"/>
          <w:iCs w:val="0"/>
          <w:caps w:val="0"/>
          <w:color w:val="333333"/>
          <w:spacing w:val="0"/>
          <w:sz w:val="27"/>
          <w:szCs w:val="27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371475</wp:posOffset>
            </wp:positionH>
            <wp:positionV relativeFrom="page">
              <wp:posOffset>3268345</wp:posOffset>
            </wp:positionV>
            <wp:extent cx="1949450" cy="1562100"/>
            <wp:effectExtent l="0" t="0" r="12700" b="0"/>
            <wp:wrapNone/>
            <wp:docPr id="6" name="图片 6" descr="tHo2VgvLQnqamoYyhcpH4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tHo2VgvLQnqamoYyhcpH4Q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4945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7"/>
          <w:szCs w:val="27"/>
          <w:shd w:val="clear" w:color="auto" w:fill="FFFFFF"/>
        </w:rPr>
        <w:t> </w:t>
      </w:r>
    </w:p>
    <w:p>
      <w:bookmarkStart w:id="0" w:name="_GoBack"/>
      <w:bookmarkEnd w:id="0"/>
      <w:r>
        <w:rPr>
          <w:rFonts w:hint="eastAsia" w:ascii="sans-serif" w:hAnsi="sans-serif" w:eastAsia="宋体" w:cs="sans-serif"/>
          <w:i w:val="0"/>
          <w:iCs w:val="0"/>
          <w:caps w:val="0"/>
          <w:color w:val="333333"/>
          <w:spacing w:val="0"/>
          <w:sz w:val="27"/>
          <w:szCs w:val="27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359410</wp:posOffset>
            </wp:positionH>
            <wp:positionV relativeFrom="page">
              <wp:posOffset>4863465</wp:posOffset>
            </wp:positionV>
            <wp:extent cx="1985645" cy="1390650"/>
            <wp:effectExtent l="0" t="0" r="14605" b="0"/>
            <wp:wrapNone/>
            <wp:docPr id="4" name="图片 4" descr="accelerating-admixture-for-sprayed-concrete-500x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ccelerating-admixture-for-sprayed-concrete-500x5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8564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sans-serif" w:hAnsi="sans-serif" w:eastAsia="宋体" w:cs="sans-serif"/>
          <w:i w:val="0"/>
          <w:iCs w:val="0"/>
          <w:caps w:val="0"/>
          <w:color w:val="333333"/>
          <w:spacing w:val="0"/>
          <w:sz w:val="27"/>
          <w:szCs w:val="27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2371725</wp:posOffset>
            </wp:positionH>
            <wp:positionV relativeFrom="page">
              <wp:posOffset>4867910</wp:posOffset>
            </wp:positionV>
            <wp:extent cx="2092960" cy="1394460"/>
            <wp:effectExtent l="0" t="0" r="2540" b="15240"/>
            <wp:wrapNone/>
            <wp:docPr id="3" name="图片 3" descr="sika-shotcrete-exterior-application-712x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ika-shotcrete-exterior-application-712x47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9296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6" w:space="0"/>
      </w:pBdr>
      <w:ind w:firstLine="1159" w:firstLineChars="644"/>
      <w:jc w:val="both"/>
      <w:rPr>
        <w:rFonts w:ascii="宋体" w:hAnsi="宋体" w:cs="宋体"/>
        <w:b/>
        <w:bCs/>
        <w:kern w:val="0"/>
        <w:sz w:val="32"/>
        <w:szCs w:val="36"/>
      </w:rPr>
    </w:pPr>
    <w:r>
      <w:rPr>
        <w:rFonts w:hint="eastAsia"/>
        <w:lang w:eastAsia="zh-CN"/>
      </w:rPr>
      <w:tab/>
    </w:r>
    <w:r>
      <w:rPr>
        <w:rFonts w:hint="eastAsia" w:ascii="宋体" w:hAnsi="宋体" w:cs="宋体"/>
        <w:b/>
        <w:bCs/>
        <w:kern w:val="0"/>
        <w:sz w:val="32"/>
        <w:szCs w:val="36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5080</wp:posOffset>
          </wp:positionH>
          <wp:positionV relativeFrom="paragraph">
            <wp:posOffset>-256540</wp:posOffset>
          </wp:positionV>
          <wp:extent cx="527050" cy="552450"/>
          <wp:effectExtent l="0" t="0" r="6350" b="0"/>
          <wp:wrapNone/>
          <wp:docPr id="1" name="图片 1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0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宋体" w:hAnsi="宋体" w:cs="宋体"/>
        <w:b/>
        <w:bCs/>
        <w:kern w:val="0"/>
        <w:sz w:val="32"/>
        <w:szCs w:val="36"/>
      </w:rPr>
      <w:t>山东高强新材料科技有限公司</w:t>
    </w:r>
  </w:p>
  <w:p>
    <w:pPr>
      <w:pStyle w:val="7"/>
      <w:pBdr>
        <w:bottom w:val="single" w:color="auto" w:sz="6" w:space="0"/>
      </w:pBdr>
      <w:tabs>
        <w:tab w:val="center" w:pos="5245"/>
        <w:tab w:val="left" w:pos="8205"/>
      </w:tabs>
      <w:ind w:firstLine="497"/>
      <w:jc w:val="center"/>
      <w:rPr>
        <w:rFonts w:ascii="宋体" w:hAnsi="宋体" w:cs="宋体"/>
        <w:b/>
        <w:bCs/>
        <w:kern w:val="0"/>
        <w:sz w:val="22"/>
        <w:szCs w:val="28"/>
      </w:rPr>
    </w:pPr>
    <w:r>
      <w:rPr>
        <w:rFonts w:ascii="宋体" w:hAnsi="宋体" w:cs="宋体"/>
        <w:b/>
        <w:bCs/>
        <w:kern w:val="0"/>
        <w:sz w:val="22"/>
        <w:szCs w:val="28"/>
      </w:rPr>
      <w:t xml:space="preserve">Shandong </w:t>
    </w:r>
    <w:r>
      <w:rPr>
        <w:rFonts w:hint="eastAsia" w:ascii="宋体" w:hAnsi="宋体" w:cs="宋体"/>
        <w:b/>
        <w:bCs/>
        <w:kern w:val="0"/>
        <w:sz w:val="22"/>
        <w:szCs w:val="28"/>
        <w:lang w:val="en-US" w:eastAsia="zh-CN"/>
      </w:rPr>
      <w:t>Gaoqiang</w:t>
    </w:r>
    <w:r>
      <w:rPr>
        <w:rFonts w:ascii="宋体" w:hAnsi="宋体" w:cs="宋体"/>
        <w:b/>
        <w:bCs/>
        <w:kern w:val="0"/>
        <w:sz w:val="22"/>
        <w:szCs w:val="28"/>
      </w:rPr>
      <w:t xml:space="preserve"> New Materials Tec</w:t>
    </w:r>
    <w:r>
      <w:rPr>
        <w:rFonts w:hint="eastAsia" w:ascii="宋体" w:hAnsi="宋体" w:cs="宋体"/>
        <w:b/>
        <w:bCs/>
        <w:kern w:val="0"/>
        <w:sz w:val="22"/>
        <w:szCs w:val="28"/>
      </w:rPr>
      <w:t>h</w:t>
    </w:r>
    <w:r>
      <w:rPr>
        <w:rFonts w:ascii="宋体" w:hAnsi="宋体" w:cs="宋体"/>
        <w:b/>
        <w:bCs/>
        <w:kern w:val="0"/>
        <w:sz w:val="22"/>
        <w:szCs w:val="28"/>
      </w:rPr>
      <w:t>nology Co.,LTD</w:t>
    </w:r>
  </w:p>
  <w:p>
    <w:pPr>
      <w:pStyle w:val="7"/>
      <w:tabs>
        <w:tab w:val="left" w:pos="1386"/>
        <w:tab w:val="clear" w:pos="4153"/>
      </w:tabs>
      <w:rPr>
        <w:rFonts w:hint="eastAsia" w:eastAsia="宋体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60934D"/>
    <w:multiLevelType w:val="multilevel"/>
    <w:tmpl w:val="0C60934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86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806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1526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246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2966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3686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4406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126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5846" w:hanging="360"/>
      </w:pPr>
      <w:rPr>
        <w:rFonts w:hint="default" w:ascii="Symbol" w:hAnsi="Symbol" w:cs="Symbol"/>
        <w:sz w:val="20"/>
      </w:rPr>
    </w:lvl>
  </w:abstractNum>
  <w:abstractNum w:abstractNumId="1">
    <w:nsid w:val="532A753B"/>
    <w:multiLevelType w:val="multilevel"/>
    <w:tmpl w:val="532A753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86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806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1526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246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2966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3686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4406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126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5846" w:hanging="360"/>
      </w:pPr>
      <w:rPr>
        <w:rFonts w:hint="default" w:ascii="Symbol" w:hAnsi="Symbol" w:cs="Symbol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hYWM0Yjc1OGNlY2NlYWRjYTMxMjhhMjNiNzM3OWIifQ=="/>
  </w:docVars>
  <w:rsids>
    <w:rsidRoot w:val="67857275"/>
    <w:rsid w:val="6785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5">
    <w:name w:val="heading 5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4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2022-06-17T03:04:00Z</dcterms:created>
  <dc:creator>Administrator</dc:creator>
  <cp:lastModifiedBy>Administrator</cp:lastModifiedBy>
  <dcterms:modified xsi:type="dcterms:W3CDTF">2022-06-17T03:38:51Z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427BA96144D64217A8A7F1547CD51410</vt:lpwstr>
  </property>
</Properties>
</file>