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 w:line="20" w:lineRule="atLeast"/>
        <w:ind w:left="0" w:firstLine="0"/>
        <w:jc w:val="center"/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5"/>
          <w:szCs w:val="35"/>
        </w:rPr>
      </w:pP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5"/>
          <w:szCs w:val="35"/>
          <w:shd w:val="clear" w:color="auto" w:fill="FFFFFF"/>
        </w:rPr>
        <w:t>Concrete Admixture – Alkali-Free Accelerator for Shotcrete (</w:t>
      </w:r>
      <w:r>
        <w:rPr>
          <w:rFonts w:hint="eastAsia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5"/>
          <w:szCs w:val="35"/>
          <w:shd w:val="clear" w:color="auto" w:fill="FFFFFF"/>
          <w:lang w:val="en-US" w:eastAsia="zh-CN"/>
        </w:rPr>
        <w:t>GQ-SN03</w:t>
      </w: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5"/>
          <w:szCs w:val="35"/>
          <w:shd w:val="clear" w:color="auto" w:fill="FFFFFF"/>
        </w:rPr>
        <w:t>)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273" w:afterAutospacing="0"/>
        <w:rPr>
          <w:rFonts w:hint="default" w:eastAsia="宋体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26"/>
          <w:szCs w:val="26"/>
          <w:shd w:val="clear" w:color="auto" w:fill="FFFFFF"/>
          <w:lang w:val="en-US" w:eastAsia="zh-CN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Product Name: Alkali-Free Accelerator for Shotcrete (GQ-SN03)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 xml:space="preserve">Type: 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>GQ-SN03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br w:type="textWrapping"/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Package: 250kg/drum</w:t>
      </w:r>
      <w:r>
        <w:rPr>
          <w:rFonts w:hint="eastAsia" w:cs="sans-serif" w:asciiTheme="minorAscii" w:hAnsiTheme="minorAsci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>, 1000kg/IBC Tank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jc w:val="center"/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6"/>
          <w:szCs w:val="36"/>
        </w:rPr>
      </w:pP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</w:rPr>
        <w:t>Alkali-Free Accelerator for Shotcrete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jc w:val="center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36"/>
          <w:szCs w:val="36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</w:rPr>
        <w:t>(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  <w:lang w:val="en-US" w:eastAsia="zh-CN"/>
        </w:rPr>
        <w:t>GQ-SN03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36"/>
          <w:szCs w:val="36"/>
          <w:shd w:val="clear" w:color="auto" w:fill="FFFFF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eastAsia" w:ascii="Calibri" w:hAnsi="Calibri" w:eastAsia="宋体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lang w:val="en-US" w:eastAsia="zh-CN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</w:rPr>
        <w:t>Description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  <w:lang w:val="en-US" w:eastAsia="zh-CN"/>
        </w:rPr>
        <w:t>:</w:t>
      </w:r>
    </w:p>
    <w:p>
      <w:pPr>
        <w:pStyle w:val="8"/>
        <w:keepNext w:val="0"/>
        <w:keepLines w:val="0"/>
        <w:widowControl/>
        <w:suppressLineNumbers w:val="0"/>
        <w:shd w:val="clear" w:color="auto" w:fill="FFFFFF"/>
        <w:spacing w:before="0" w:beforeAutospacing="0" w:after="273" w:afterAutospacing="0"/>
        <w:ind w:left="0" w:firstLine="0"/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>GQ-SN03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 xml:space="preserve"> is a high-performance alkali-free concrete accelerator for sprayed concrete. It is a liquid form which dosage can be varied as according to the designed setting and hardening times.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eastAsia" w:ascii="Calibri" w:hAnsi="Calibri" w:eastAsia="宋体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lang w:val="en-US" w:eastAsia="zh-CN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</w:rPr>
        <w:t>Application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  <w:lang w:val="en-US" w:eastAsia="zh-CN"/>
        </w:rPr>
        <w:t>:</w:t>
      </w:r>
    </w:p>
    <w:p>
      <w:pPr>
        <w:pStyle w:val="8"/>
        <w:keepNext w:val="0"/>
        <w:keepLines w:val="0"/>
        <w:widowControl/>
        <w:suppressLineNumbers w:val="0"/>
        <w:shd w:val="clear" w:color="auto" w:fill="FFFFFF"/>
        <w:spacing w:before="0" w:beforeAutospacing="0" w:after="273" w:afterAutospacing="0"/>
        <w:ind w:left="0" w:firstLine="0"/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 xml:space="preserve">GQ-SN03 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 xml:space="preserve"> is suitable for all applications, where high and early strength, good final strength and extremely thick layers are required.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Temporary and permanent rock support in tunnels.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Rock support in mining.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Poor ground conditions.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Tunnel linings, cement ground injection and foam concrete which need acceleration of cementitious grouts.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eastAsia" w:ascii="Calibri" w:hAnsi="Calibri" w:eastAsia="宋体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lang w:val="en-US" w:eastAsia="zh-CN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</w:rPr>
        <w:t>Features</w:t>
      </w:r>
      <w:r>
        <w:rPr>
          <w:rFonts w:hint="eastAsia" w:ascii="Calibri" w:hAnsi="Calibri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Quick setting property allowed with rapid work progress and construct thick sprayed concrete linings via layered application during one construction sequence. Initial setting time is 2 min to 5 min, final setting time is 3min to 10min.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Good adhesiveness, one spray layer can be 8 mm to 150mm.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High strength and concrete performance durability.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Easy handling as well as facilitating accurate addition to concrete.</w:t>
      </w:r>
    </w:p>
    <w:tbl>
      <w:tblPr>
        <w:tblStyle w:val="9"/>
        <w:tblpPr w:leftFromText="180" w:rightFromText="180" w:vertAnchor="text" w:horzAnchor="page" w:tblpX="1919" w:tblpY="2331"/>
        <w:tblOverlap w:val="never"/>
        <w:tblW w:w="9068" w:type="dxa"/>
        <w:tblCellSpacing w:w="0" w:type="dxa"/>
        <w:tblInd w:w="0" w:type="dxa"/>
        <w:tblBorders>
          <w:top w:val="outset" w:color="ECECEC" w:sz="6" w:space="0"/>
          <w:left w:val="outset" w:color="ECECEC" w:sz="6" w:space="0"/>
          <w:bottom w:val="outset" w:color="ECECEC" w:sz="6" w:space="0"/>
          <w:right w:val="outset" w:color="ECECEC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3"/>
        <w:gridCol w:w="4995"/>
      </w:tblGrid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Style w:val="11"/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Items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Style w:val="11"/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Specification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Form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Liquid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Visual Appearance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Beige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Density (+20℃)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1.43 ±0.03g/ml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pH value (1:1 water solution)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2.6±0.5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Viscosity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＞400mPa.s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Thermal stability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+5℃ to +35℃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73" w:type="dxa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Chloride</w:t>
            </w:r>
          </w:p>
        </w:tc>
        <w:tc>
          <w:tcPr>
            <w:tcW w:w="4995" w:type="dxa"/>
            <w:tcBorders>
              <w:bottom w:val="single" w:color="ECECEC" w:sz="6" w:space="0"/>
            </w:tcBorders>
            <w:noWrap w:val="0"/>
            <w:tcMar>
              <w:top w:w="105" w:type="dxa"/>
              <w:left w:w="105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Free</w:t>
            </w:r>
          </w:p>
        </w:tc>
      </w:tr>
      <w:tr>
        <w:tblPrEx>
          <w:tblBorders>
            <w:top w:val="outset" w:color="ECECEC" w:sz="6" w:space="0"/>
            <w:left w:val="outset" w:color="ECECEC" w:sz="6" w:space="0"/>
            <w:bottom w:val="outset" w:color="ECECEC" w:sz="6" w:space="0"/>
            <w:right w:val="outset" w:color="ECECE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68" w:type="dxa"/>
            <w:gridSpan w:val="2"/>
            <w:tcBorders>
              <w:bottom w:val="single" w:color="ECECEC" w:sz="6" w:space="0"/>
            </w:tcBorders>
            <w:noWrap w:val="0"/>
            <w:tcMar>
              <w:top w:w="105" w:type="dxa"/>
              <w:left w:w="150" w:type="dxa"/>
              <w:bottom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0" w:lineRule="atLeast"/>
              <w:jc w:val="left"/>
              <w:rPr>
                <w:rFonts w:hint="default" w:asciiTheme="minorAscii" w:hAnsiTheme="minorAscii"/>
                <w:b/>
                <w:bCs/>
                <w:color w:val="888888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888888"/>
                <w:kern w:val="0"/>
                <w:sz w:val="21"/>
                <w:szCs w:val="21"/>
                <w:lang w:val="en-US" w:eastAsia="zh-CN" w:bidi="ar"/>
              </w:rPr>
              <w:t>Recommended addition rate: 3% to 8%.of cement quantity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Very low dust production with good working environment.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26" w:afterAutospacing="0"/>
        <w:ind w:left="360" w:leftChars="0" w:hanging="360" w:firstLineChars="0"/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Lower handling cost.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</w:rPr>
        <w:t>Technical Data Sheet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23"/>
          <w:szCs w:val="23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23"/>
          <w:szCs w:val="23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05" w:afterAutospacing="0"/>
        <w:ind w:left="0" w:firstLine="0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555555"/>
          <w:spacing w:val="0"/>
          <w:sz w:val="40"/>
          <w:szCs w:val="40"/>
          <w:shd w:val="clear" w:color="auto" w:fill="FFFFFF"/>
        </w:rPr>
        <w:t>Storage</w:t>
      </w:r>
    </w:p>
    <w:p>
      <w:pPr>
        <w:pStyle w:val="8"/>
        <w:keepNext w:val="0"/>
        <w:keepLines w:val="0"/>
        <w:widowControl/>
        <w:suppressLineNumbers w:val="0"/>
        <w:shd w:val="clear" w:color="auto" w:fill="FFFFFF"/>
        <w:spacing w:before="0" w:beforeAutospacing="0" w:after="273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>GQ-SN03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 xml:space="preserve"> kept in closed containers which made of plastic, glass fiber or stainless steel.</w:t>
      </w:r>
      <w:r>
        <w:rPr>
          <w:rFonts w:hint="eastAsia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 xml:space="preserve">The container is 250kg per drum. </w:t>
      </w:r>
      <w:r>
        <w:rPr>
          <w:rFonts w:hint="eastAsia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 xml:space="preserve">1000kg per IBC tank.    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The shelf life is 8 months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.</w:t>
      </w:r>
    </w:p>
    <w:p>
      <w:pPr>
        <w:pStyle w:val="8"/>
        <w:keepNext w:val="0"/>
        <w:keepLines w:val="0"/>
        <w:widowControl/>
        <w:suppressLineNumbers w:val="0"/>
        <w:shd w:val="clear" w:color="auto" w:fill="FFFFFF"/>
        <w:spacing w:before="0" w:beforeAutospacing="0" w:after="273" w:afterAutospacing="0"/>
        <w:ind w:left="0" w:firstLine="0"/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2409825</wp:posOffset>
            </wp:positionH>
            <wp:positionV relativeFrom="page">
              <wp:posOffset>3263265</wp:posOffset>
            </wp:positionV>
            <wp:extent cx="2054860" cy="1541145"/>
            <wp:effectExtent l="0" t="0" r="2540" b="1905"/>
            <wp:wrapNone/>
            <wp:docPr id="5" name="图片 5" descr="20142710-Lightening-the-load-deBat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42710-Lightening-the-load-deBattist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</wp:posOffset>
            </wp:positionH>
            <wp:positionV relativeFrom="page">
              <wp:posOffset>3268345</wp:posOffset>
            </wp:positionV>
            <wp:extent cx="1949450" cy="1562100"/>
            <wp:effectExtent l="0" t="0" r="12700" b="0"/>
            <wp:wrapNone/>
            <wp:docPr id="6" name="图片 6" descr="tHo2VgvLQnqamoYyhcpH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Ho2VgvLQnqamoYyhcpH4Q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 </w:t>
      </w:r>
    </w:p>
    <w:p>
      <w:bookmarkStart w:id="0" w:name="_GoBack"/>
      <w:bookmarkEnd w:id="0"/>
      <w:r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359410</wp:posOffset>
            </wp:positionH>
            <wp:positionV relativeFrom="page">
              <wp:posOffset>4863465</wp:posOffset>
            </wp:positionV>
            <wp:extent cx="1985645" cy="1390650"/>
            <wp:effectExtent l="0" t="0" r="14605" b="0"/>
            <wp:wrapNone/>
            <wp:docPr id="4" name="图片 4" descr="accelerating-admixture-for-sprayed-concrete-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celerating-admixture-for-sprayed-concrete-500x5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sans-serif" w:hAnsi="sans-serif" w:eastAsia="宋体" w:cs="sans-serif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ge">
              <wp:posOffset>4867910</wp:posOffset>
            </wp:positionV>
            <wp:extent cx="2092960" cy="1394460"/>
            <wp:effectExtent l="0" t="0" r="2540" b="15240"/>
            <wp:wrapNone/>
            <wp:docPr id="3" name="图片 3" descr="sika-shotcrete-exterior-application-712x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ika-shotcrete-exterior-application-712x4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ind w:firstLine="1159" w:firstLineChars="644"/>
      <w:jc w:val="both"/>
      <w:rPr>
        <w:rFonts w:ascii="宋体" w:hAnsi="宋体" w:cs="宋体"/>
        <w:b/>
        <w:bCs/>
        <w:kern w:val="0"/>
        <w:sz w:val="32"/>
        <w:szCs w:val="36"/>
      </w:rPr>
    </w:pPr>
    <w:r>
      <w:rPr>
        <w:rFonts w:hint="eastAsia"/>
        <w:lang w:eastAsia="zh-CN"/>
      </w:rPr>
      <w:tab/>
    </w:r>
    <w:r>
      <w:rPr>
        <w:rFonts w:hint="eastAsia" w:ascii="宋体" w:hAnsi="宋体" w:cs="宋体"/>
        <w:b/>
        <w:bCs/>
        <w:kern w:val="0"/>
        <w:sz w:val="32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-256540</wp:posOffset>
          </wp:positionV>
          <wp:extent cx="527050" cy="552450"/>
          <wp:effectExtent l="0" t="0" r="6350" b="0"/>
          <wp:wrapNone/>
          <wp:docPr id="1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kern w:val="0"/>
        <w:sz w:val="32"/>
        <w:szCs w:val="36"/>
      </w:rPr>
      <w:t>山东高强新材料科技有限公司</w:t>
    </w:r>
  </w:p>
  <w:p>
    <w:pPr>
      <w:pStyle w:val="7"/>
      <w:pBdr>
        <w:bottom w:val="single" w:color="auto" w:sz="6" w:space="0"/>
      </w:pBdr>
      <w:tabs>
        <w:tab w:val="center" w:pos="5245"/>
        <w:tab w:val="left" w:pos="8205"/>
      </w:tabs>
      <w:ind w:firstLine="497"/>
      <w:jc w:val="center"/>
      <w:rPr>
        <w:rFonts w:ascii="宋体" w:hAnsi="宋体" w:cs="宋体"/>
        <w:b/>
        <w:bCs/>
        <w:kern w:val="0"/>
        <w:sz w:val="22"/>
        <w:szCs w:val="28"/>
      </w:rPr>
    </w:pPr>
    <w:r>
      <w:rPr>
        <w:rFonts w:ascii="宋体" w:hAnsi="宋体" w:cs="宋体"/>
        <w:b/>
        <w:bCs/>
        <w:kern w:val="0"/>
        <w:sz w:val="22"/>
        <w:szCs w:val="28"/>
      </w:rPr>
      <w:t xml:space="preserve">Shandong </w:t>
    </w:r>
    <w:r>
      <w:rPr>
        <w:rFonts w:hint="eastAsia" w:ascii="宋体" w:hAnsi="宋体" w:cs="宋体"/>
        <w:b/>
        <w:bCs/>
        <w:kern w:val="0"/>
        <w:sz w:val="22"/>
        <w:szCs w:val="28"/>
        <w:lang w:val="en-US" w:eastAsia="zh-CN"/>
      </w:rPr>
      <w:t>Gaoqiang</w:t>
    </w:r>
    <w:r>
      <w:rPr>
        <w:rFonts w:ascii="宋体" w:hAnsi="宋体" w:cs="宋体"/>
        <w:b/>
        <w:bCs/>
        <w:kern w:val="0"/>
        <w:sz w:val="22"/>
        <w:szCs w:val="28"/>
      </w:rPr>
      <w:t xml:space="preserve"> New Materials Tec</w:t>
    </w:r>
    <w:r>
      <w:rPr>
        <w:rFonts w:hint="eastAsia" w:ascii="宋体" w:hAnsi="宋体" w:cs="宋体"/>
        <w:b/>
        <w:bCs/>
        <w:kern w:val="0"/>
        <w:sz w:val="22"/>
        <w:szCs w:val="28"/>
      </w:rPr>
      <w:t>h</w:t>
    </w:r>
    <w:r>
      <w:rPr>
        <w:rFonts w:ascii="宋体" w:hAnsi="宋体" w:cs="宋体"/>
        <w:b/>
        <w:bCs/>
        <w:kern w:val="0"/>
        <w:sz w:val="22"/>
        <w:szCs w:val="28"/>
      </w:rPr>
      <w:t>nology Co.,LTD</w:t>
    </w:r>
  </w:p>
  <w:p>
    <w:pPr>
      <w:pStyle w:val="7"/>
      <w:tabs>
        <w:tab w:val="left" w:pos="1386"/>
        <w:tab w:val="clear" w:pos="4153"/>
      </w:tabs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0934D"/>
    <w:multiLevelType w:val="multilevel"/>
    <w:tmpl w:val="0C6093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86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806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1526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246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2966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3686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4406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126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5846" w:hanging="360"/>
      </w:pPr>
      <w:rPr>
        <w:rFonts w:hint="default" w:ascii="Symbol" w:hAnsi="Symbol" w:cs="Symbol"/>
        <w:sz w:val="20"/>
      </w:rPr>
    </w:lvl>
  </w:abstractNum>
  <w:abstractNum w:abstractNumId="1">
    <w:nsid w:val="532A753B"/>
    <w:multiLevelType w:val="multilevel"/>
    <w:tmpl w:val="532A75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86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806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1526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246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2966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3686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4406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126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5846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YWM0Yjc1OGNlY2NlYWRjYTMxMjhhMjNiNzM3OWIifQ=="/>
  </w:docVars>
  <w:rsids>
    <w:rsidRoot w:val="67857275"/>
    <w:rsid w:val="6785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2022-06-17T03:04:00Z</dcterms:created>
  <dc:creator>Administrator</dc:creator>
  <cp:lastModifiedBy>Administrator</cp:lastModifiedBy>
  <dcterms:modified xsi:type="dcterms:W3CDTF">2022-06-17T03:38:51Z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427BA96144D64217A8A7F1547CD51410</vt:lpwstr>
  </property>
</Properties>
</file>